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val="en-US" w:eastAsia="zh-CN"/>
        </w:rPr>
        <w:t>附件3：</w:t>
      </w:r>
      <w:bookmarkStart w:id="0" w:name="_GoBack"/>
      <w:r>
        <w:rPr>
          <w:rFonts w:hint="eastAsia" w:ascii="仿宋_GB2312" w:hAnsi="仿宋_GB2312" w:eastAsia="仿宋_GB2312" w:cs="仿宋_GB2312"/>
          <w:sz w:val="30"/>
          <w:szCs w:val="30"/>
          <w:lang w:val="en-US" w:eastAsia="zh-CN"/>
        </w:rPr>
        <w:t>中医</w:t>
      </w:r>
      <w:r>
        <w:rPr>
          <w:rFonts w:hint="eastAsia" w:ascii="仿宋_GB2312" w:hAnsi="仿宋_GB2312" w:eastAsia="仿宋_GB2312" w:cs="仿宋_GB2312"/>
          <w:sz w:val="30"/>
          <w:szCs w:val="30"/>
          <w:lang w:eastAsia="zh-CN"/>
        </w:rPr>
        <w:t>住院病历质量评价用表</w:t>
      </w:r>
      <w:bookmarkEnd w:id="0"/>
    </w:p>
    <w:p>
      <w:pPr>
        <w:jc w:val="center"/>
        <w:rPr>
          <w:rFonts w:ascii="黑体" w:hAnsi="Times New Roman" w:eastAsia="黑体" w:cs="Times New Roman"/>
          <w:color w:val="000000"/>
          <w:sz w:val="36"/>
          <w:szCs w:val="36"/>
        </w:rPr>
      </w:pPr>
      <w:r>
        <w:rPr>
          <w:rFonts w:hint="eastAsia" w:ascii="黑体" w:hAnsi="Times New Roman" w:eastAsia="黑体" w:cs="Times New Roman"/>
          <w:color w:val="000000"/>
          <w:sz w:val="36"/>
          <w:szCs w:val="36"/>
        </w:rPr>
        <w:t>住院病历质量评价用表</w:t>
      </w:r>
    </w:p>
    <w:p>
      <w:pPr>
        <w:rPr>
          <w:rFonts w:ascii="宋体" w:hAnsi="宋体" w:eastAsia="宋体" w:cs="Times New Roman"/>
          <w:b/>
          <w:color w:val="000000"/>
          <w:sz w:val="36"/>
          <w:szCs w:val="36"/>
          <w:u w:val="single"/>
        </w:rPr>
      </w:pPr>
      <w:r>
        <w:rPr>
          <w:rFonts w:hint="eastAsia" w:ascii="宋体" w:hAnsi="宋体" w:eastAsia="宋体" w:cs="Times New Roman"/>
          <w:b/>
          <w:color w:val="000000"/>
        </w:rPr>
        <w:t>病历得分：</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分</w:t>
      </w:r>
    </w:p>
    <w:p>
      <w:pPr>
        <w:spacing w:line="360" w:lineRule="auto"/>
        <w:rPr>
          <w:rFonts w:ascii="宋体" w:hAnsi="宋体" w:eastAsia="宋体" w:cs="Times New Roman"/>
          <w:b/>
          <w:color w:val="000000"/>
          <w:u w:val="single"/>
        </w:rPr>
      </w:pPr>
      <w:r>
        <w:rPr>
          <w:rFonts w:hint="eastAsia" w:ascii="宋体" w:hAnsi="宋体" w:eastAsia="宋体" w:cs="Times New Roman"/>
          <w:b/>
          <w:color w:val="000000"/>
        </w:rPr>
        <w:t>科 室：</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病案号：</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患者姓名：</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性别：</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床号：</w:t>
      </w:r>
      <w:r>
        <w:rPr>
          <w:rFonts w:hint="eastAsia" w:ascii="宋体" w:hAnsi="宋体" w:eastAsia="宋体" w:cs="Times New Roman"/>
          <w:b/>
          <w:color w:val="000000"/>
          <w:u w:val="single"/>
        </w:rPr>
        <w:t xml:space="preserve">       </w:t>
      </w:r>
    </w:p>
    <w:p>
      <w:pPr>
        <w:spacing w:line="360" w:lineRule="auto"/>
        <w:rPr>
          <w:rFonts w:ascii="宋体" w:hAnsi="宋体" w:eastAsia="宋体" w:cs="Times New Roman"/>
          <w:b/>
          <w:color w:val="000000"/>
          <w:u w:val="single"/>
        </w:rPr>
      </w:pPr>
      <w:r>
        <w:rPr>
          <w:rFonts w:hint="eastAsia" w:ascii="宋体" w:hAnsi="宋体" w:eastAsia="宋体" w:cs="Times New Roman"/>
          <w:b/>
          <w:color w:val="000000"/>
        </w:rPr>
        <w:t>上级医师：○正高：</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○副高：</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○主治：</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住院医师：</w:t>
      </w:r>
      <w:r>
        <w:rPr>
          <w:rFonts w:hint="eastAsia" w:ascii="宋体" w:hAnsi="宋体" w:eastAsia="宋体" w:cs="Times New Roman"/>
          <w:b/>
          <w:color w:val="000000"/>
          <w:u w:val="single"/>
        </w:rPr>
        <w:t xml:space="preserve">            </w:t>
      </w:r>
    </w:p>
    <w:p>
      <w:pPr>
        <w:spacing w:line="360" w:lineRule="auto"/>
        <w:rPr>
          <w:rFonts w:ascii="宋体" w:hAnsi="宋体" w:eastAsia="宋体" w:cs="Times New Roman"/>
          <w:b/>
          <w:color w:val="000000"/>
        </w:rPr>
      </w:pPr>
      <w:r>
        <w:rPr>
          <w:rFonts w:hint="eastAsia" w:ascii="宋体" w:hAnsi="宋体" w:eastAsia="宋体" w:cs="Times New Roman"/>
          <w:b/>
          <w:color w:val="000000"/>
        </w:rPr>
        <w:t>入院时间：</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年</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月</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日     出院时间：</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年</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月</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日  住院天数：</w:t>
      </w:r>
      <w:r>
        <w:rPr>
          <w:rFonts w:hint="eastAsia" w:ascii="宋体" w:hAnsi="宋体" w:eastAsia="宋体" w:cs="Times New Roman"/>
          <w:b/>
          <w:color w:val="000000"/>
          <w:u w:val="single"/>
        </w:rPr>
        <w:t xml:space="preserve">       </w:t>
      </w:r>
      <w:r>
        <w:rPr>
          <w:rFonts w:hint="eastAsia" w:ascii="宋体" w:hAnsi="宋体" w:eastAsia="宋体" w:cs="Times New Roman"/>
          <w:b/>
          <w:color w:val="000000"/>
        </w:rPr>
        <w:t>天</w:t>
      </w:r>
    </w:p>
    <w:tbl>
      <w:tblPr>
        <w:tblStyle w:val="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0"/>
        <w:gridCol w:w="2805"/>
        <w:gridCol w:w="3269"/>
        <w:gridCol w:w="936"/>
        <w:gridCol w:w="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6" w:type="pct"/>
            <w:gridSpan w:val="2"/>
            <w:tcBorders>
              <w:top w:val="single" w:color="auto" w:sz="12" w:space="0"/>
              <w:left w:val="single" w:color="auto" w:sz="12" w:space="0"/>
            </w:tcBorders>
            <w:shd w:val="clear" w:color="auto" w:fill="B3B3B3"/>
            <w:noWrap w:val="0"/>
            <w:vAlign w:val="center"/>
          </w:tcPr>
          <w:p>
            <w:pPr>
              <w:spacing w:line="240" w:lineRule="exact"/>
              <w:jc w:val="center"/>
              <w:rPr>
                <w:rFonts w:ascii="Times New Roman" w:hAnsi="Times New Roman" w:eastAsia="宋体" w:cs="Times New Roman"/>
                <w:b/>
                <w:color w:val="000000"/>
              </w:rPr>
            </w:pPr>
            <w:r>
              <w:rPr>
                <w:rFonts w:hint="eastAsia" w:ascii="Times New Roman" w:hAnsi="Times New Roman" w:eastAsia="宋体" w:cs="Times New Roman"/>
                <w:b/>
                <w:color w:val="000000"/>
              </w:rPr>
              <w:t>项目分值与检查要求</w:t>
            </w:r>
          </w:p>
        </w:tc>
        <w:tc>
          <w:tcPr>
            <w:tcW w:w="1917" w:type="pct"/>
            <w:tcBorders>
              <w:top w:val="single" w:color="auto" w:sz="12" w:space="0"/>
            </w:tcBorders>
            <w:shd w:val="clear" w:color="auto" w:fill="B3B3B3"/>
            <w:noWrap w:val="0"/>
            <w:vAlign w:val="center"/>
          </w:tcPr>
          <w:p>
            <w:pPr>
              <w:spacing w:line="240" w:lineRule="exact"/>
              <w:jc w:val="center"/>
              <w:rPr>
                <w:rFonts w:ascii="Times New Roman" w:hAnsi="Times New Roman" w:eastAsia="宋体" w:cs="Times New Roman"/>
                <w:b/>
                <w:color w:val="000000"/>
              </w:rPr>
            </w:pPr>
            <w:r>
              <w:rPr>
                <w:rFonts w:hint="eastAsia" w:ascii="Times New Roman" w:hAnsi="Times New Roman" w:eastAsia="宋体" w:cs="Times New Roman"/>
                <w:b/>
                <w:color w:val="000000"/>
              </w:rPr>
              <w:t>扣分标准</w:t>
            </w:r>
          </w:p>
        </w:tc>
        <w:tc>
          <w:tcPr>
            <w:tcW w:w="549" w:type="pct"/>
            <w:tcBorders>
              <w:top w:val="single" w:color="auto" w:sz="12" w:space="0"/>
            </w:tcBorders>
            <w:shd w:val="clear" w:color="auto" w:fill="B3B3B3"/>
            <w:noWrap w:val="0"/>
            <w:vAlign w:val="center"/>
          </w:tcPr>
          <w:p>
            <w:pPr>
              <w:spacing w:line="240" w:lineRule="exact"/>
              <w:jc w:val="center"/>
              <w:rPr>
                <w:rFonts w:ascii="Times New Roman" w:hAnsi="Times New Roman" w:eastAsia="宋体" w:cs="Times New Roman"/>
                <w:b/>
                <w:color w:val="000000"/>
              </w:rPr>
            </w:pPr>
            <w:r>
              <w:rPr>
                <w:rFonts w:hint="eastAsia" w:ascii="Times New Roman" w:hAnsi="Times New Roman" w:eastAsia="宋体" w:cs="Times New Roman"/>
                <w:b/>
                <w:color w:val="000000"/>
              </w:rPr>
              <w:t>扣分</w:t>
            </w:r>
          </w:p>
          <w:p>
            <w:pPr>
              <w:spacing w:line="240" w:lineRule="exact"/>
              <w:jc w:val="center"/>
              <w:rPr>
                <w:rFonts w:ascii="Times New Roman" w:hAnsi="Times New Roman" w:eastAsia="宋体" w:cs="Times New Roman"/>
                <w:b/>
                <w:color w:val="000000"/>
              </w:rPr>
            </w:pPr>
            <w:r>
              <w:rPr>
                <w:rFonts w:hint="eastAsia" w:ascii="Times New Roman" w:hAnsi="Times New Roman" w:eastAsia="宋体" w:cs="Times New Roman"/>
                <w:b/>
                <w:color w:val="000000"/>
              </w:rPr>
              <w:t>分值</w:t>
            </w:r>
          </w:p>
        </w:tc>
        <w:tc>
          <w:tcPr>
            <w:tcW w:w="235" w:type="pct"/>
            <w:tcBorders>
              <w:top w:val="single" w:color="auto" w:sz="12" w:space="0"/>
              <w:right w:val="single" w:color="auto" w:sz="12" w:space="0"/>
            </w:tcBorders>
            <w:shd w:val="clear" w:color="auto" w:fill="B3B3B3"/>
            <w:noWrap w:val="0"/>
            <w:vAlign w:val="center"/>
          </w:tcPr>
          <w:p>
            <w:pPr>
              <w:spacing w:line="240" w:lineRule="exact"/>
              <w:jc w:val="center"/>
              <w:rPr>
                <w:rFonts w:ascii="Times New Roman" w:hAnsi="Times New Roman" w:eastAsia="宋体" w:cs="Times New Roman"/>
                <w:b/>
                <w:color w:val="000000"/>
              </w:rPr>
            </w:pPr>
            <w:r>
              <w:rPr>
                <w:rFonts w:hint="eastAsia" w:ascii="Times New Roman" w:hAnsi="Times New Roman" w:eastAsia="宋体" w:cs="Times New Roman"/>
                <w:b/>
                <w:color w:val="000000"/>
              </w:rPr>
              <w:t>扣分</w:t>
            </w:r>
          </w:p>
          <w:p>
            <w:pPr>
              <w:spacing w:line="240" w:lineRule="exact"/>
              <w:jc w:val="center"/>
              <w:rPr>
                <w:rFonts w:ascii="Times New Roman" w:hAnsi="Times New Roman" w:eastAsia="宋体" w:cs="Times New Roman"/>
                <w:b/>
                <w:color w:val="000000"/>
              </w:rPr>
            </w:pPr>
            <w:r>
              <w:rPr>
                <w:rFonts w:hint="eastAsia" w:ascii="Times New Roman" w:hAnsi="Times New Roman" w:eastAsia="宋体" w:cs="Times New Roman"/>
                <w:b/>
                <w:color w:val="000000"/>
              </w:rPr>
              <w:t>及理由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一般项目1</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一般项目填写齐全、准确</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缺项或写错或不规范（特别强调发病节气）</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0.5/项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主诉2</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1.简明扼要，不超过20个字，能导出第一诊断</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主诉超过20个字，未导出第一诊断</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2.主要症状（体征）及持续时间，原则上不用诊断名称代替</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主诉不规范或用体征或用诊断代替，而在现病史中发现有症状的</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现病史8</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1.起病时间与诱因</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起病时间描述不准确或未写有无诱因</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2.主要症状特点及其发展变化情况</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主要症状特点及其发展变化情况描述不清楚</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3.有鉴别诊断意义的阴性症状与体征</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缺有鉴别诊断意义的重要阴性症状与体征</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1.5</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4.疾病发展情况，入院前诊治经过及效果</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疾病发展情况或入院前诊治经过未描述</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1.5/项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5.一般情况（饮食、睡眠、二便等）</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缺一般情况描述</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6.经本院“急诊”入住，有急诊诊疗重要内容简述</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缺或描述不准确</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7.*入院症见(舌苔脉象记录正确)</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*入院症见(无舌苔脉象记录)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既往史3</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1.既往一般健康状况、心脑血管、肺、肾、内分泌系统等重要的疾病史</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缺重要脏器疾病史，尤其与鉴别诊断相关的</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2.手术、外伤史，重要传染病史，输血史</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缺手术史、传染病史、输血史</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3.药物过敏史</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缺药物过敏史或与首页不一致</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个人史1</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1.记录与个人有关的生活习惯、嗜好和职业、地方病接触史及冶游史</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个人史描述有遗漏</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0.5</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2.婚育史：婚姻、月经、生育史</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婚姻、月经、生育史缺项或不规范</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0.5/项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家族史1</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1.记录与疾病有关的遗传或具有遗传倾向的病史及类似本病病史</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如系遗传疾病，病史询问少于三代家庭成员</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0.5</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2.直系家属成员的健康、疾病及死亡情况</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家族中有死亡者，死因未描述；或未记录父母情况</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0.5/项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体格检查5</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1.项目齐全，填写完整、正确</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头颈五官、胸、腹、四肢及神经系统检查缺任何一项；心界描述正确；肝脾大采用甲乙丙线描述。</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2.与主诉现病史相关查体项目有重点描述，且与鉴别诊断有关的体检项目充分</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与本次住院疾病相关查体项目不充分；肿瘤或诊断需鉴别者未查相关区域淋巴结</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3.专科检查情况全面、正确</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专科检查不全面；应有的鉴别诊断体征未记录或记录不全</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4.*中医望闻切诊，记录神色、形态、语声、气息、舌象、脉象等</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*缺中医望闻切诊</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辅助检查1</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记录与本次疾病相关的主要检查及其结果，写明检查日期、外院检查注明医院名称</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有辅助检查结果未记录或记录有缺陷</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诊断3</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1.初步诊断疾病名称规范、主次排列有序</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无初步诊断；仅以症状或体征待查代替诊断；初步诊断书写不规范</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中医诊断及诊断依据的书写</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缺中医诊断及诊断依据</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3.有医师签名</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缺医师签名(含上级医师签名)</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4</w:t>
            </w:r>
            <w:r>
              <w:rPr>
                <w:rFonts w:hint="eastAsia" w:ascii="宋体" w:hAnsi="宋体" w:eastAsia="宋体" w:cs="Times New Roman"/>
                <w:color w:val="000000"/>
                <w:sz w:val="18"/>
                <w:szCs w:val="18"/>
              </w:rPr>
              <w:t>.</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入院记录（或再次入院记录）由经治医师在患者入院后24小时内完成</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无入院记录，或入院记录未在患者入院后24小时内完成，或非执业医师书写入院记录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首次病程记录5</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r>
              <w:rPr>
                <w:rFonts w:hint="eastAsia" w:ascii="宋体" w:hAnsi="宋体" w:eastAsia="宋体" w:cs="Times New Roman"/>
                <w:b/>
                <w:color w:val="000000"/>
                <w:szCs w:val="21"/>
              </w:rPr>
              <w:t xml:space="preserve"> ﹡</w:t>
            </w:r>
            <w:r>
              <w:rPr>
                <w:rFonts w:hint="eastAsia" w:ascii="Times New Roman" w:hAnsi="Times New Roman" w:eastAsia="宋体" w:cs="Times New Roman"/>
                <w:color w:val="000000"/>
                <w:sz w:val="18"/>
                <w:szCs w:val="18"/>
              </w:rPr>
              <w:t>首次病程记录由经治医师或值班医师在患者入院后8小时内完成</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首次病程记录未在患者入院后8小时内完成（记录时间具体到分钟）,或非执业医师书写入院记录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2.将入院病史、体检及辅助检查归纳提炼，写出病例特点，要求重点突出，逻辑性强</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照搬入院病史、体检及辅助检查，未归纳提炼</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tcBorders>
              <w:top w:val="single" w:color="auto" w:sz="12"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3.西医诊断依据及西医鉴别诊断调理清晰，符合逻辑；必要时对治疗中的难点进行分析讨论</w:t>
            </w:r>
          </w:p>
        </w:tc>
        <w:tc>
          <w:tcPr>
            <w:tcW w:w="1917" w:type="pct"/>
            <w:tcBorders>
              <w:top w:val="single" w:color="auto" w:sz="12"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无分析讨论、无鉴别诊断、分析讨论不够，未记录诊断依据</w:t>
            </w:r>
          </w:p>
        </w:tc>
        <w:tc>
          <w:tcPr>
            <w:tcW w:w="549" w:type="pct"/>
            <w:tcBorders>
              <w:top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5/项</w:t>
            </w:r>
          </w:p>
        </w:tc>
        <w:tc>
          <w:tcPr>
            <w:tcW w:w="235" w:type="pct"/>
            <w:tcBorders>
              <w:top w:val="single" w:color="auto" w:sz="12" w:space="0"/>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tcBorders>
              <w:top w:val="single" w:color="auto" w:sz="12"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4.中医诊断、证型及鉴别诊断符合中医规范</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中医诊断、证型及鉴别诊断不符合中医规范</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5..针对病情制订具体明确的中西医诊疗计划，体现出对患者诊治的整体思路</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诊疗计划用套话、无针对性、不具体、缺中医诊疗计划内容</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6.中医四诊内容完整</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缺中医四诊内容单项否决,项目不全每项扣2分</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上级医师首次</w:t>
            </w:r>
          </w:p>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查房记录5</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1.二级医师首次查房记录在患者入院后48小时内完成，三级医师应在72小时内完成</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上级医师首次查房记录未在患者入院后规定时间内完成</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2.记录上级医师查房对病史有无补充、查体有无新发现</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未记录上级医师查房对病史有无补充、查体有无新发现</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3.记录上级医师对疾病的拟诊讨论（诊断依据与鉴别诊断的分析）及诊疗计划和具体医嘱</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无分析讨论、无鉴别诊断或分析讨论不够，或与首次病程记录中的内容雷同</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4.上级医师查房记录体现四诊、治法、方药变化的指导、方剂的分析。</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上级医师查房记录不能体现四诊、治法、方药变化的指导。</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日常上级医师</w:t>
            </w:r>
          </w:p>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查房记录5</w:t>
            </w:r>
          </w:p>
        </w:tc>
        <w:tc>
          <w:tcPr>
            <w:tcW w:w="1645" w:type="pct"/>
            <w:vMerge w:val="restar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1.按规定书写上级医师查房记录（病危至少每天一次，病重至少每两天一次，病情稳定每周至少二次）</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对一般患者未按规定时间记录主治医师查房记录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危重患者未按规定时间记录主治医师查房记录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2.上级医师日常查房记录内容应包括对病情演变的分析，明确诊疗措施，评价诊疗效果</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主治医师日常查房无内容、无分析及处理意见</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restar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3.按规定书写主任医师或副主任医师以上查房记录（每周至少一次）；副主任以上医师查房记录应有对病情的进一步分析以及对诊疗的意见</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疑难或危重病例一周无科主任或主任（副主任）医师查房记录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一般患者一周无主任或副主任医师以上医师查房记录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副主任医师以上医师查房无分析及指导诊疗的意见</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4.上级医师对中医辨证论治的指导</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缺上级医师中医辨证论治的指导</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日常病程记录</w:t>
            </w:r>
          </w:p>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20</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1.记录患者自觉症状、体征等病情变化情况，分析其原因，并记录所采用的处理措施及效果</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未及时记录患者病情变化，对新的阳性发现无分析及处理措施等</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restar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2.按规定书写病程记录（病危随时记至少每天一次，病重至少每两天一次，病情稳定至少每三天一次）</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对一般患者未按规定时间记录病程记录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对危重患者未按规定时间记录病程记录</w:t>
            </w:r>
          </w:p>
        </w:tc>
        <w:tc>
          <w:tcPr>
            <w:tcW w:w="549" w:type="pct"/>
            <w:noWrap w:val="0"/>
            <w:vAlign w:val="center"/>
          </w:tcPr>
          <w:p>
            <w:pPr>
              <w:spacing w:line="240" w:lineRule="exact"/>
              <w:jc w:val="center"/>
              <w:rPr>
                <w:rFonts w:ascii="Times New Roman" w:hAnsi="Times New Roman" w:eastAsia="宋体" w:cs="Times New Roman"/>
                <w:color w:val="000000"/>
              </w:rPr>
            </w:pPr>
            <w:r>
              <w:rPr>
                <w:rFonts w:hint="eastAsia" w:ascii="Times New Roman" w:hAnsi="Times New Roman" w:eastAsia="宋体" w:cs="Times New Roman"/>
                <w:color w:val="000000"/>
                <w:sz w:val="18"/>
                <w:szCs w:val="18"/>
              </w:rPr>
              <w:t>3/次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3.记录异常的辅助检查结果及临床意义，有分析、处理意见及效果</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未记录异常的检查结果或无分析、判断、处理的记录</w:t>
            </w:r>
          </w:p>
        </w:tc>
        <w:tc>
          <w:tcPr>
            <w:tcW w:w="549" w:type="pct"/>
            <w:noWrap w:val="0"/>
            <w:vAlign w:val="center"/>
          </w:tcPr>
          <w:p>
            <w:pPr>
              <w:spacing w:line="240" w:lineRule="exact"/>
              <w:jc w:val="center"/>
              <w:rPr>
                <w:rFonts w:ascii="Times New Roman" w:hAnsi="Times New Roman" w:eastAsia="宋体" w:cs="Times New Roman"/>
                <w:color w:val="000000"/>
              </w:rPr>
            </w:pPr>
            <w:r>
              <w:rPr>
                <w:rFonts w:hint="eastAsia" w:ascii="Times New Roman" w:hAnsi="Times New Roman" w:eastAsia="宋体" w:cs="Times New Roman"/>
                <w:color w:val="000000"/>
                <w:sz w:val="18"/>
                <w:szCs w:val="18"/>
              </w:rPr>
              <w:t>1/次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4.记录所采取的重要诊疗措施与重要医嘱更改的理由及效果</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未记录所采取的重要诊疗措施；未对更改的药物、治疗方式进行说明</w:t>
            </w:r>
          </w:p>
        </w:tc>
        <w:tc>
          <w:tcPr>
            <w:tcW w:w="549" w:type="pct"/>
            <w:noWrap w:val="0"/>
            <w:vAlign w:val="center"/>
          </w:tcPr>
          <w:p>
            <w:pPr>
              <w:spacing w:line="240" w:lineRule="exact"/>
              <w:jc w:val="center"/>
              <w:rPr>
                <w:rFonts w:ascii="Times New Roman" w:hAnsi="Times New Roman" w:eastAsia="宋体" w:cs="Times New Roman"/>
                <w:color w:val="000000"/>
              </w:rPr>
            </w:pPr>
            <w:r>
              <w:rPr>
                <w:rFonts w:hint="eastAsia" w:ascii="Times New Roman" w:hAnsi="Times New Roman" w:eastAsia="宋体" w:cs="Times New Roman"/>
                <w:color w:val="000000"/>
                <w:sz w:val="18"/>
                <w:szCs w:val="18"/>
              </w:rPr>
              <w:t>1/次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5.记录住院期间向患者及其近亲属告知的重要事项及他们的意愿，特别是危重患者，必要时请患方签名</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对病情危重患者，病程中未记录向患者近亲属告知的相关情况</w:t>
            </w:r>
          </w:p>
        </w:tc>
        <w:tc>
          <w:tcPr>
            <w:tcW w:w="549" w:type="pct"/>
            <w:noWrap w:val="0"/>
            <w:vAlign w:val="center"/>
          </w:tcPr>
          <w:p>
            <w:pPr>
              <w:spacing w:line="240" w:lineRule="exact"/>
              <w:jc w:val="center"/>
              <w:rPr>
                <w:rFonts w:ascii="Times New Roman" w:hAnsi="Times New Roman" w:eastAsia="宋体" w:cs="Times New Roman"/>
                <w:color w:val="000000"/>
              </w:rPr>
            </w:pPr>
            <w:r>
              <w:rPr>
                <w:rFonts w:hint="eastAsia" w:ascii="Times New Roman" w:hAnsi="Times New Roman" w:eastAsia="宋体" w:cs="Times New Roman"/>
                <w:color w:val="000000"/>
                <w:sz w:val="18"/>
                <w:szCs w:val="18"/>
              </w:rPr>
              <w:t>2/次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6.</w:t>
            </w:r>
            <w:r>
              <w:rPr>
                <w:rFonts w:hint="eastAsia" w:ascii="宋体" w:hAnsi="宋体" w:eastAsia="宋体" w:cs="Times New Roman"/>
                <w:b/>
                <w:color w:val="000000"/>
                <w:szCs w:val="21"/>
              </w:rPr>
              <w:t xml:space="preserve"> ﹡</w:t>
            </w:r>
            <w:r>
              <w:rPr>
                <w:rFonts w:hint="eastAsia" w:ascii="Times New Roman" w:hAnsi="Times New Roman" w:eastAsia="宋体" w:cs="Times New Roman"/>
                <w:color w:val="000000"/>
                <w:sz w:val="18"/>
                <w:szCs w:val="18"/>
              </w:rPr>
              <w:t>普通会诊应在申请发出后24小时内完成</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无会诊意见或未在发出申请后24小时内完成</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7.会诊记录单填写应完整并记录会诊申请理由及目的</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会诊记录单未陈述会诊申请理由及目的</w:t>
            </w:r>
          </w:p>
        </w:tc>
        <w:tc>
          <w:tcPr>
            <w:tcW w:w="549" w:type="pct"/>
            <w:noWrap w:val="0"/>
            <w:vAlign w:val="center"/>
          </w:tcPr>
          <w:p>
            <w:pPr>
              <w:spacing w:line="240" w:lineRule="exact"/>
              <w:jc w:val="center"/>
              <w:rPr>
                <w:rFonts w:ascii="Times New Roman" w:hAnsi="Times New Roman" w:eastAsia="宋体" w:cs="Times New Roman"/>
                <w:color w:val="000000"/>
              </w:rPr>
            </w:pPr>
            <w:r>
              <w:rPr>
                <w:rFonts w:hint="eastAsia" w:ascii="Times New Roman" w:hAnsi="Times New Roman" w:eastAsia="宋体" w:cs="Times New Roman"/>
                <w:color w:val="000000"/>
                <w:sz w:val="18"/>
                <w:szCs w:val="18"/>
              </w:rPr>
              <w:t>1/次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8.病程中应记录会诊意见及执行情况</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未在病程记录中记录会诊意见及执行情况</w:t>
            </w:r>
          </w:p>
        </w:tc>
        <w:tc>
          <w:tcPr>
            <w:tcW w:w="549" w:type="pct"/>
            <w:noWrap w:val="0"/>
            <w:vAlign w:val="center"/>
          </w:tcPr>
          <w:p>
            <w:pPr>
              <w:spacing w:line="240" w:lineRule="exact"/>
              <w:jc w:val="center"/>
              <w:rPr>
                <w:rFonts w:ascii="Times New Roman" w:hAnsi="Times New Roman" w:eastAsia="宋体" w:cs="Times New Roman"/>
                <w:color w:val="000000"/>
              </w:rPr>
            </w:pPr>
            <w:r>
              <w:rPr>
                <w:rFonts w:hint="eastAsia" w:ascii="Times New Roman" w:hAnsi="Times New Roman" w:eastAsia="宋体" w:cs="Times New Roman"/>
                <w:color w:val="000000"/>
                <w:sz w:val="18"/>
                <w:szCs w:val="18"/>
              </w:rPr>
              <w:t>1/次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9.</w:t>
            </w:r>
            <w:r>
              <w:rPr>
                <w:rFonts w:hint="eastAsia" w:ascii="宋体" w:hAnsi="宋体" w:eastAsia="宋体" w:cs="Times New Roman"/>
                <w:b/>
                <w:color w:val="000000"/>
                <w:szCs w:val="21"/>
              </w:rPr>
              <w:t xml:space="preserve"> ﹡</w:t>
            </w:r>
            <w:r>
              <w:rPr>
                <w:rFonts w:hint="eastAsia" w:ascii="Times New Roman" w:hAnsi="Times New Roman" w:eastAsia="宋体" w:cs="Times New Roman"/>
                <w:color w:val="000000"/>
                <w:sz w:val="18"/>
                <w:szCs w:val="18"/>
              </w:rPr>
              <w:t>有创检查（治疗）操作记录应由操作者在操作结束后即刻完成</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无有创检查（治疗）操作记录或未在操作结束后即刻完成</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10.有创诊疗操作（介入、胸穿、骨穿等）应记录操作过程，有无不良反应，注意事项及操作者姓名</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有创诊疗操作（介入、胸穿、骨穿等）未记录操作过程、有无不良反应、注意事项及操作者姓名</w:t>
            </w:r>
          </w:p>
        </w:tc>
        <w:tc>
          <w:tcPr>
            <w:tcW w:w="549" w:type="pct"/>
            <w:noWrap w:val="0"/>
            <w:vAlign w:val="center"/>
          </w:tcPr>
          <w:p>
            <w:pPr>
              <w:spacing w:line="240" w:lineRule="exact"/>
              <w:jc w:val="center"/>
              <w:rPr>
                <w:rFonts w:ascii="Times New Roman" w:hAnsi="Times New Roman" w:eastAsia="宋体" w:cs="Times New Roman"/>
                <w:color w:val="000000"/>
              </w:rPr>
            </w:pPr>
            <w:r>
              <w:rPr>
                <w:rFonts w:hint="eastAsia" w:ascii="Times New Roman" w:hAnsi="Times New Roman" w:eastAsia="宋体" w:cs="Times New Roman"/>
                <w:color w:val="000000"/>
                <w:sz w:val="18"/>
                <w:szCs w:val="18"/>
              </w:rPr>
              <w:t>2/次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11.</w:t>
            </w:r>
            <w:r>
              <w:rPr>
                <w:rFonts w:hint="eastAsia" w:ascii="宋体" w:hAnsi="宋体" w:eastAsia="宋体" w:cs="Times New Roman"/>
                <w:b/>
                <w:color w:val="000000"/>
                <w:szCs w:val="21"/>
              </w:rPr>
              <w:t xml:space="preserve"> ﹡</w:t>
            </w:r>
            <w:r>
              <w:rPr>
                <w:rFonts w:hint="eastAsia" w:ascii="Times New Roman" w:hAnsi="Times New Roman" w:eastAsia="宋体" w:cs="Times New Roman"/>
                <w:color w:val="000000"/>
                <w:sz w:val="18"/>
                <w:szCs w:val="18"/>
              </w:rPr>
              <w:t>已输血病例中应有术前感染四/八项检查报告单或化验结果记录</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已输血病例中无输血前四/八项检查报告单或化验结果记录</w:t>
            </w:r>
          </w:p>
        </w:tc>
        <w:tc>
          <w:tcPr>
            <w:tcW w:w="549" w:type="pct"/>
            <w:noWrap w:val="0"/>
            <w:vAlign w:val="center"/>
          </w:tcPr>
          <w:p>
            <w:pPr>
              <w:spacing w:line="240" w:lineRule="exact"/>
              <w:jc w:val="center"/>
              <w:rPr>
                <w:rFonts w:ascii="Times New Roman" w:hAnsi="Times New Roman" w:eastAsia="宋体" w:cs="Times New Roman"/>
                <w:color w:val="000000"/>
              </w:rPr>
            </w:pPr>
            <w:r>
              <w:rPr>
                <w:rFonts w:hint="eastAsia" w:ascii="Times New Roman" w:hAnsi="Times New Roman" w:eastAsia="宋体" w:cs="Times New Roman"/>
                <w:color w:val="000000"/>
                <w:sz w:val="18"/>
                <w:szCs w:val="18"/>
              </w:rPr>
              <w:t>2/次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12.输血或使用血液制品病程中应有记录，内容包括输血前评估、输血记录、输血后评价</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输血或使用血液制品病程无记录或记录有缺陷</w:t>
            </w:r>
          </w:p>
        </w:tc>
        <w:tc>
          <w:tcPr>
            <w:tcW w:w="549" w:type="pct"/>
            <w:noWrap w:val="0"/>
            <w:vAlign w:val="center"/>
          </w:tcPr>
          <w:p>
            <w:pPr>
              <w:spacing w:line="240" w:lineRule="exact"/>
              <w:jc w:val="center"/>
              <w:rPr>
                <w:rFonts w:ascii="Times New Roman" w:hAnsi="Times New Roman" w:eastAsia="宋体" w:cs="Times New Roman"/>
                <w:color w:val="000000"/>
              </w:rPr>
            </w:pPr>
            <w:r>
              <w:rPr>
                <w:rFonts w:hint="eastAsia" w:ascii="Times New Roman" w:hAnsi="Times New Roman" w:eastAsia="宋体" w:cs="Times New Roman"/>
                <w:color w:val="000000"/>
                <w:sz w:val="18"/>
                <w:szCs w:val="18"/>
              </w:rPr>
              <w:t>1/次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13.</w:t>
            </w:r>
            <w:r>
              <w:rPr>
                <w:rFonts w:hint="eastAsia" w:ascii="宋体" w:hAnsi="宋体" w:eastAsia="宋体" w:cs="Times New Roman"/>
                <w:b/>
                <w:color w:val="000000"/>
                <w:szCs w:val="21"/>
              </w:rPr>
              <w:t xml:space="preserve"> ﹡</w:t>
            </w:r>
            <w:r>
              <w:rPr>
                <w:rFonts w:hint="eastAsia" w:ascii="Times New Roman" w:hAnsi="Times New Roman" w:eastAsia="宋体" w:cs="Times New Roman"/>
                <w:color w:val="000000"/>
                <w:sz w:val="18"/>
                <w:szCs w:val="18"/>
              </w:rPr>
              <w:t>抢救记录、抢救医嘱应在抢救结束后6小时内完成</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抢救记录、抢救医嘱未在抢救结束后6小时内完成</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restar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14.抢救记录应有记录时间、病情变化情况、抢救时间及措施，参加抢救医务人员姓名及职称；开具的抢救医嘱与抢救记录内容相一致</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无死亡抢救记录（放弃抢救除外）</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抢救记录有缺陷</w:t>
            </w:r>
          </w:p>
        </w:tc>
        <w:tc>
          <w:tcPr>
            <w:tcW w:w="549" w:type="pct"/>
            <w:noWrap w:val="0"/>
            <w:vAlign w:val="center"/>
          </w:tcPr>
          <w:p>
            <w:pPr>
              <w:spacing w:line="240" w:lineRule="exact"/>
              <w:jc w:val="center"/>
              <w:rPr>
                <w:rFonts w:ascii="Times New Roman" w:hAnsi="Times New Roman" w:eastAsia="宋体" w:cs="Times New Roman"/>
                <w:color w:val="000000"/>
              </w:rPr>
            </w:pPr>
            <w:r>
              <w:rPr>
                <w:rFonts w:hint="eastAsia" w:ascii="Times New Roman" w:hAnsi="Times New Roman" w:eastAsia="宋体" w:cs="Times New Roman"/>
                <w:color w:val="000000"/>
                <w:sz w:val="18"/>
                <w:szCs w:val="18"/>
              </w:rPr>
              <w:t>1/项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tcBorders>
              <w:bottom w:val="single" w:color="auto" w:sz="12" w:space="0"/>
            </w:tcBorders>
            <w:noWrap w:val="0"/>
            <w:vAlign w:val="center"/>
          </w:tcPr>
          <w:p>
            <w:pPr>
              <w:spacing w:line="240" w:lineRule="exact"/>
              <w:rPr>
                <w:rFonts w:ascii="Times New Roman" w:hAnsi="Times New Roman" w:eastAsia="宋体" w:cs="Times New Roman"/>
                <w:color w:val="000000"/>
                <w:sz w:val="18"/>
                <w:szCs w:val="18"/>
              </w:rPr>
            </w:pPr>
          </w:p>
        </w:tc>
        <w:tc>
          <w:tcPr>
            <w:tcW w:w="1917" w:type="pct"/>
            <w:tcBorders>
              <w:bottom w:val="single" w:color="auto" w:sz="12"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开具的抢救医嘱与抢救记录内容不一致</w:t>
            </w:r>
          </w:p>
        </w:tc>
        <w:tc>
          <w:tcPr>
            <w:tcW w:w="549" w:type="pct"/>
            <w:tcBorders>
              <w:bottom w:val="single" w:color="auto" w:sz="12" w:space="0"/>
            </w:tcBorders>
            <w:noWrap w:val="0"/>
            <w:vAlign w:val="center"/>
          </w:tcPr>
          <w:p>
            <w:pPr>
              <w:spacing w:line="240" w:lineRule="exact"/>
              <w:jc w:val="center"/>
              <w:rPr>
                <w:rFonts w:ascii="Times New Roman" w:hAnsi="Times New Roman" w:eastAsia="宋体" w:cs="Times New Roman"/>
                <w:color w:val="000000"/>
              </w:rPr>
            </w:pPr>
            <w:r>
              <w:rPr>
                <w:rFonts w:hint="eastAsia" w:ascii="Times New Roman" w:hAnsi="Times New Roman" w:eastAsia="宋体" w:cs="Times New Roman"/>
                <w:color w:val="000000"/>
                <w:sz w:val="18"/>
                <w:szCs w:val="18"/>
              </w:rPr>
              <w:t>2</w:t>
            </w:r>
          </w:p>
        </w:tc>
        <w:tc>
          <w:tcPr>
            <w:tcW w:w="235" w:type="pct"/>
            <w:tcBorders>
              <w:bottom w:val="single" w:color="auto" w:sz="12" w:space="0"/>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restart"/>
            <w:tcBorders>
              <w:top w:val="single" w:color="auto" w:sz="12"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15.</w:t>
            </w:r>
            <w:r>
              <w:rPr>
                <w:rFonts w:hint="eastAsia" w:ascii="宋体" w:hAnsi="宋体" w:eastAsia="宋体" w:cs="Times New Roman"/>
                <w:b/>
                <w:color w:val="000000"/>
                <w:szCs w:val="21"/>
              </w:rPr>
              <w:t xml:space="preserve"> ﹡</w:t>
            </w:r>
            <w:r>
              <w:rPr>
                <w:rFonts w:hint="eastAsia" w:ascii="Times New Roman" w:hAnsi="Times New Roman" w:eastAsia="宋体" w:cs="Times New Roman"/>
                <w:color w:val="000000"/>
                <w:sz w:val="18"/>
                <w:szCs w:val="18"/>
              </w:rPr>
              <w:t>交、接班记录，转科记录、阶段小结应在规定时间内完成</w:t>
            </w:r>
          </w:p>
        </w:tc>
        <w:tc>
          <w:tcPr>
            <w:tcW w:w="1917" w:type="pct"/>
            <w:tcBorders>
              <w:top w:val="single" w:color="auto" w:sz="12"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无交、接班记录，转科记录、阶段小结或未在规定时间内完成</w:t>
            </w:r>
          </w:p>
        </w:tc>
        <w:tc>
          <w:tcPr>
            <w:tcW w:w="549" w:type="pct"/>
            <w:tcBorders>
              <w:top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top w:val="single" w:color="auto" w:sz="12" w:space="0"/>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tcBorders>
              <w:top w:val="single" w:color="auto" w:sz="12" w:space="0"/>
            </w:tcBorders>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交班与接班记录，转出与转入记录雷同</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16.出院前一天应有上级医师同意出院的病程记录</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缺上级医师同意出院的病程记录</w:t>
            </w:r>
          </w:p>
        </w:tc>
        <w:tc>
          <w:tcPr>
            <w:tcW w:w="549" w:type="pct"/>
            <w:noWrap w:val="0"/>
            <w:vAlign w:val="center"/>
          </w:tcPr>
          <w:p>
            <w:pPr>
              <w:spacing w:line="240" w:lineRule="exact"/>
              <w:jc w:val="center"/>
              <w:rPr>
                <w:rFonts w:ascii="Times New Roman" w:hAnsi="Times New Roman" w:eastAsia="宋体" w:cs="Times New Roman"/>
                <w:color w:val="000000"/>
              </w:rPr>
            </w:pPr>
            <w:r>
              <w:rPr>
                <w:rFonts w:hint="eastAsia" w:ascii="Times New Roman" w:hAnsi="Times New Roman" w:eastAsia="宋体" w:cs="Times New Roman"/>
                <w:color w:val="000000"/>
                <w:sz w:val="18"/>
                <w:szCs w:val="18"/>
              </w:rPr>
              <w:t>2</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17.</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日常中医药及诊疗操作理法方药一致性</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中药饮片、颗粒剂、中药注射剂、中医诊疗操作等存在理法方药不一致</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18.危急值管理</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缺危急值报告单及未在6小时内记录其结果和处理措施</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围手术期</w:t>
            </w:r>
          </w:p>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记录10</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1.术前小结是手术前对患者病情所作的总结。包括简要病情、术前诊断、手术指征、拟施行手术名称和方式、拟施行麻醉方式、注意事项等</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无术前小结或有缺项、漏项等</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二级以上择期手术应有手术者参加的术前讨论记录</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二级以上择期手术无术前讨论记录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3.应有手术者术前查看患者的记录</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无手术者术前查看患者的记录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4.有麻醉医师术前查看、术后访视患者的记录</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无手术前、后麻醉医师查看患者的核对记录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手术患者要有手术风险评估表、手术部位标识表、手术安全核查表</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手术患者缺手术风险评估表、手术部位标识表、手术安全核查表</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6.</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手术记录在术后24小时内由手术者完成，内容包括一般项目、手术日期、术前诊断、术中诊断、手术名称、手术者及助手姓名、麻醉方法、手术经过、术中出现的情况及处理，术中出血及输血、标本等情况</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无手术记录或未在患者术后24小时内完成</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restart"/>
            <w:noWrap w:val="0"/>
            <w:vAlign w:val="center"/>
          </w:tcPr>
          <w:p>
            <w:pPr>
              <w:spacing w:line="240" w:lineRule="exact"/>
              <w:rPr>
                <w:rFonts w:ascii="Times New Roman" w:hAnsi="Times New Roman" w:eastAsia="宋体" w:cs="Times New Roman"/>
                <w:color w:val="000000"/>
                <w:sz w:val="18"/>
                <w:szCs w:val="18"/>
              </w:rPr>
            </w:pPr>
          </w:p>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8.麻醉记录由麻醉医师于术后即刻完成</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缺项或写错或不规范</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无手术医师签字</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无麻醉记录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9.</w:t>
            </w:r>
            <w:r>
              <w:rPr>
                <w:rFonts w:hint="eastAsia" w:ascii="宋体" w:hAnsi="宋体" w:eastAsia="宋体" w:cs="Times New Roman"/>
                <w:b/>
                <w:color w:val="000000"/>
                <w:szCs w:val="21"/>
              </w:rPr>
              <w:t xml:space="preserve"> ﹡</w:t>
            </w:r>
            <w:r>
              <w:rPr>
                <w:rFonts w:hint="eastAsia" w:ascii="Times New Roman" w:hAnsi="Times New Roman" w:eastAsia="宋体" w:cs="Times New Roman"/>
                <w:color w:val="000000"/>
                <w:sz w:val="18"/>
                <w:szCs w:val="18"/>
              </w:rPr>
              <w:t>术后病程记录由参加手术者在术后即刻书写完成，内容包括手术时间、术中诊断、麻醉方式、手术方式、手术简要经过、术后处理措施、术后应当特别注意观察的事项等</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缺术后病程记录或记录不规范</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restart"/>
            <w:noWrap w:val="0"/>
            <w:vAlign w:val="center"/>
          </w:tcPr>
          <w:p>
            <w:pPr>
              <w:spacing w:line="240" w:lineRule="exact"/>
              <w:rPr>
                <w:rFonts w:ascii="Times New Roman" w:hAnsi="Times New Roman" w:eastAsia="宋体" w:cs="Times New Roman"/>
                <w:color w:val="000000"/>
                <w:sz w:val="18"/>
                <w:szCs w:val="18"/>
              </w:rPr>
            </w:pPr>
          </w:p>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10.应有术后连续3天，每天至少一次的病程记录；术后3天内应有手术者查看患者的记录</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缺项或写错或不规范</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缺术后每天一次、连续3天的病程记录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1/次</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出院（死亡）</w:t>
            </w:r>
          </w:p>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记录10</w:t>
            </w:r>
          </w:p>
        </w:tc>
        <w:tc>
          <w:tcPr>
            <w:tcW w:w="1645" w:type="pct"/>
            <w:vMerge w:val="restar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于患者出院（死亡）24小时内完成，出院记录内容包括：主诉、入院情况、入院诊断、诊疗经过、出院情况、出院诊断、出院医嘱。死亡记录内容同上述要求外，应记录病情演变、抢救经过、死亡时间具体到分钟</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术后3天内无手术者或上级医师查看患者的记录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*缺出院（死亡）记录或未在患者出院（死亡）后24小时内完成</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restar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2.死亡病例讨论记录内容符合规范，在患者死亡一周内完成</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缺某一部分内容或记录有缺陷</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出院记录缺医师签名</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死亡记录无死亡原因和时间</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缺死亡病例讨论记录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restar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手术、麻醉、输血及有创操作病例应有患者签署意见并签名的知情同意书</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死亡病例讨论记录不规范</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手术、麻醉、输血及有创操作病例无患者签名的知情同意书</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hint="eastAsia" w:ascii="Times New Roman" w:hAnsi="Times New Roman" w:eastAsia="宋体" w:cs="Times New Roman"/>
                <w:b/>
                <w:color w:val="000000"/>
                <w:sz w:val="18"/>
                <w:szCs w:val="18"/>
                <w:lang w:eastAsia="zh-CN"/>
              </w:rPr>
            </w:pPr>
            <w:r>
              <w:rPr>
                <w:rFonts w:hint="eastAsia" w:ascii="Times New Roman" w:hAnsi="Times New Roman" w:eastAsia="宋体" w:cs="Times New Roman"/>
                <w:b/>
                <w:color w:val="000000"/>
                <w:sz w:val="18"/>
                <w:szCs w:val="18"/>
              </w:rPr>
              <w:t>知情同意书1</w:t>
            </w:r>
            <w:r>
              <w:rPr>
                <w:rFonts w:hint="eastAsia" w:ascii="Times New Roman" w:hAnsi="Times New Roman" w:eastAsia="宋体" w:cs="Times New Roman"/>
                <w:b/>
                <w:color w:val="000000"/>
                <w:sz w:val="18"/>
                <w:szCs w:val="18"/>
                <w:lang w:val="en-US" w:eastAsia="zh-CN"/>
              </w:rPr>
              <w:t>0</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2.手术、麻醉、输血及有创操作知情同意记录规范，内容包括项目名称、目的、可能出现的并发症、风险、患者签名、医师签名等</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缺项或写错或不规范</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3.使用自费项目应有患者或近亲属签署意见并签名的知情同意书</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使用自费项目无患者签名的知情同意书</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4.患者病危（重），应将病情告知患者近亲属并发出“病危（重）通知单”</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病危（重）通知书应发未发</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选择或放弃抢救措施应有患者近亲属签署意见并签名的医疗文书</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放弃抢救无患者法定代理人签署意见并签名的医疗文书</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restar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6.非患者签名的应签署授权委托书</w:t>
            </w:r>
          </w:p>
        </w:tc>
        <w:tc>
          <w:tcPr>
            <w:tcW w:w="1917" w:type="pct"/>
            <w:tcBorders>
              <w:bottom w:val="single" w:color="auto" w:sz="6"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非患者签名无授权委托书</w:t>
            </w:r>
          </w:p>
        </w:tc>
        <w:tc>
          <w:tcPr>
            <w:tcW w:w="549" w:type="pct"/>
            <w:tcBorders>
              <w:bottom w:val="single" w:color="auto" w:sz="6" w:space="0"/>
            </w:tcBorders>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p>
        </w:tc>
        <w:tc>
          <w:tcPr>
            <w:tcW w:w="235" w:type="pct"/>
            <w:tcBorders>
              <w:bottom w:val="single" w:color="auto" w:sz="6" w:space="0"/>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vMerge w:val="continue"/>
            <w:noWrap w:val="0"/>
            <w:vAlign w:val="center"/>
          </w:tcPr>
          <w:p>
            <w:pPr>
              <w:spacing w:line="240" w:lineRule="exact"/>
              <w:rPr>
                <w:rFonts w:ascii="Times New Roman" w:hAnsi="Times New Roman" w:eastAsia="宋体" w:cs="Times New Roman"/>
                <w:color w:val="000000"/>
                <w:sz w:val="18"/>
                <w:szCs w:val="18"/>
              </w:rPr>
            </w:pPr>
          </w:p>
        </w:tc>
        <w:tc>
          <w:tcPr>
            <w:tcW w:w="1917" w:type="pct"/>
            <w:tcBorders>
              <w:top w:val="single" w:color="auto" w:sz="6"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非授权委托人签署知情同意书</w:t>
            </w:r>
          </w:p>
        </w:tc>
        <w:tc>
          <w:tcPr>
            <w:tcW w:w="549" w:type="pct"/>
            <w:tcBorders>
              <w:top w:val="single" w:color="auto" w:sz="6" w:space="0"/>
            </w:tcBorders>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p>
        </w:tc>
        <w:tc>
          <w:tcPr>
            <w:tcW w:w="235" w:type="pct"/>
            <w:tcBorders>
              <w:top w:val="single" w:color="auto" w:sz="6" w:space="0"/>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7.</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一次性高值耗材使用知情同意书</w:t>
            </w:r>
          </w:p>
        </w:tc>
        <w:tc>
          <w:tcPr>
            <w:tcW w:w="1917" w:type="pct"/>
            <w:tcBorders>
              <w:top w:val="single" w:color="auto" w:sz="6"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缺高值耗材使用知情同意书</w:t>
            </w:r>
          </w:p>
        </w:tc>
        <w:tc>
          <w:tcPr>
            <w:tcW w:w="549" w:type="pct"/>
            <w:tcBorders>
              <w:top w:val="single" w:color="auto" w:sz="6" w:space="0"/>
            </w:tcBorders>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top w:val="single" w:color="auto" w:sz="6" w:space="0"/>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8.患者诊疗计划书告知病情，病情变化、手术方式改变等情况再次告知</w:t>
            </w:r>
          </w:p>
        </w:tc>
        <w:tc>
          <w:tcPr>
            <w:tcW w:w="1917" w:type="pct"/>
            <w:tcBorders>
              <w:top w:val="single" w:color="auto" w:sz="6"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缺患者诊疗计划告知书，缺再次告知内容</w:t>
            </w:r>
          </w:p>
        </w:tc>
        <w:tc>
          <w:tcPr>
            <w:tcW w:w="549" w:type="pct"/>
            <w:tcBorders>
              <w:top w:val="single" w:color="auto" w:sz="6" w:space="0"/>
            </w:tcBorders>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p>
        </w:tc>
        <w:tc>
          <w:tcPr>
            <w:tcW w:w="235" w:type="pct"/>
            <w:tcBorders>
              <w:top w:val="single" w:color="auto" w:sz="6" w:space="0"/>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9. 非计划再次手术上报</w:t>
            </w:r>
          </w:p>
        </w:tc>
        <w:tc>
          <w:tcPr>
            <w:tcW w:w="1917" w:type="pct"/>
            <w:tcBorders>
              <w:top w:val="single" w:color="auto" w:sz="6"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非计划再次手术未上报</w:t>
            </w:r>
          </w:p>
        </w:tc>
        <w:tc>
          <w:tcPr>
            <w:tcW w:w="549" w:type="pct"/>
            <w:tcBorders>
              <w:top w:val="single" w:color="auto" w:sz="6" w:space="0"/>
            </w:tcBorders>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p>
        </w:tc>
        <w:tc>
          <w:tcPr>
            <w:tcW w:w="235" w:type="pct"/>
            <w:tcBorders>
              <w:top w:val="single" w:color="auto" w:sz="6" w:space="0"/>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651" w:type="pct"/>
            <w:vMerge w:val="continue"/>
            <w:tcBorders>
              <w:left w:val="single" w:color="auto" w:sz="12" w:space="0"/>
              <w:bottom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10.</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特殊手术审批</w:t>
            </w:r>
          </w:p>
        </w:tc>
        <w:tc>
          <w:tcPr>
            <w:tcW w:w="1917" w:type="pct"/>
            <w:tcBorders>
              <w:top w:val="single" w:color="auto" w:sz="6"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缺特殊手术审批</w:t>
            </w:r>
          </w:p>
        </w:tc>
        <w:tc>
          <w:tcPr>
            <w:tcW w:w="549" w:type="pct"/>
            <w:tcBorders>
              <w:top w:val="single" w:color="auto" w:sz="6" w:space="0"/>
            </w:tcBorders>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top w:val="single" w:color="auto" w:sz="6" w:space="0"/>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top w:val="single" w:color="auto" w:sz="12" w:space="0"/>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医嘱单及</w:t>
            </w:r>
          </w:p>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辅助检查5</w:t>
            </w:r>
          </w:p>
        </w:tc>
        <w:tc>
          <w:tcPr>
            <w:tcW w:w="1645" w:type="pct"/>
            <w:tcBorders>
              <w:top w:val="single" w:color="auto" w:sz="12"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1.每项医嘱应有明确的开具或停止时间</w:t>
            </w:r>
          </w:p>
        </w:tc>
        <w:tc>
          <w:tcPr>
            <w:tcW w:w="1917" w:type="pct"/>
            <w:tcBorders>
              <w:top w:val="single" w:color="auto" w:sz="12"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医嘱开具或停止时间不明确</w:t>
            </w:r>
          </w:p>
        </w:tc>
        <w:tc>
          <w:tcPr>
            <w:tcW w:w="549" w:type="pct"/>
            <w:tcBorders>
              <w:top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top w:val="single" w:color="auto" w:sz="12" w:space="0"/>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2.医嘱内容应当清楚、完整、规范，禁止有非医嘱内容</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医嘱内容不规范或有非医嘱内容</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3.每项医嘱开具或停止均应有医师的亲笔签名</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医嘱无医师签名</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4.已输血病例中应有输血前四项检查报告单或化验结果记录</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已输血病例中无输血前四项检查报告单或化验结果记录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5.择期手术术前完成常规检查（血尿粪常规、肝功肾功血糖电解质、凝血四项、感染四项、血型、心电图、胸片等）</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未完成术前常规检查</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0.5/项</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6.所开具的辅助检查医嘱应与检查报告单回报相一致</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检查医嘱与报告单不一致</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7.</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重要辅助检查、检验报告单</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缺与诊断相关、治疗、术后复查、病理、细胞学等重要检查、检验报告单</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restart"/>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书写基本</w:t>
            </w:r>
          </w:p>
          <w:p>
            <w:pPr>
              <w:spacing w:line="240" w:lineRule="exact"/>
              <w:jc w:val="center"/>
              <w:rPr>
                <w:rFonts w:ascii="Times New Roman" w:hAnsi="Times New Roman" w:eastAsia="宋体" w:cs="Times New Roman"/>
                <w:b/>
                <w:color w:val="000000"/>
                <w:sz w:val="18"/>
                <w:szCs w:val="18"/>
              </w:rPr>
            </w:pPr>
            <w:r>
              <w:rPr>
                <w:rFonts w:hint="eastAsia" w:ascii="Times New Roman" w:hAnsi="Times New Roman" w:eastAsia="宋体" w:cs="Times New Roman"/>
                <w:b/>
                <w:color w:val="000000"/>
                <w:sz w:val="18"/>
                <w:szCs w:val="18"/>
              </w:rPr>
              <w:t>原则5</w:t>
            </w: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严禁涂改、伪造病历记录</w:t>
            </w:r>
          </w:p>
        </w:tc>
        <w:tc>
          <w:tcPr>
            <w:tcW w:w="1917" w:type="pct"/>
            <w:noWrap w:val="0"/>
            <w:vAlign w:val="center"/>
          </w:tcPr>
          <w:p>
            <w:pPr>
              <w:spacing w:line="240" w:lineRule="exact"/>
              <w:rPr>
                <w:rFonts w:ascii="宋体" w:hAnsi="宋体" w:eastAsia="宋体" w:cs="Times New Roman"/>
                <w:b/>
                <w:color w:val="000000"/>
                <w:szCs w:val="21"/>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有涂改或伪造行为</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2.修改时，应在错字上画双横线，修改处注明修改日期及修改人签名</w:t>
            </w:r>
          </w:p>
        </w:tc>
        <w:tc>
          <w:tcPr>
            <w:tcW w:w="1917" w:type="pct"/>
            <w:noWrap w:val="0"/>
            <w:vAlign w:val="center"/>
          </w:tcPr>
          <w:p>
            <w:pPr>
              <w:spacing w:line="240" w:lineRule="exact"/>
              <w:ind w:firstLine="270" w:firstLineChars="150"/>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修改不规范</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3.各种记录应当有书写医生的亲笔签名并字迹清楚，不得模仿或代替他人签名</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记录缺医师的亲笔签名或非本人签名</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4.病历中各种记录单眉栏填写齐全（姓名、病案号等），患者一般信息记录准确无误</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记录单一般项目（如姓名、病案号等）填写不完整或信息记录有误</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1</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医疗记录与护理记录内容相一致</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宋体" w:hAnsi="宋体" w:eastAsia="宋体" w:cs="Times New Roman"/>
                <w:b/>
                <w:color w:val="000000"/>
                <w:szCs w:val="21"/>
              </w:rPr>
              <w:t>﹡</w:t>
            </w:r>
            <w:r>
              <w:rPr>
                <w:rFonts w:hint="eastAsia" w:ascii="Times New Roman" w:hAnsi="Times New Roman" w:eastAsia="宋体" w:cs="Times New Roman"/>
                <w:color w:val="000000"/>
                <w:sz w:val="18"/>
                <w:szCs w:val="18"/>
              </w:rPr>
              <w:t>医疗记录与护理记录内容不一致</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单项否决</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6.医嘱所开具的诊疗措施应与病程记录内容相一致</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诊疗医嘱与病程记录不一致</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7.病历中转抄的辅助检查结果应与原报告单内容相一致</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病程中转抄的辅助检查结果与原报告单内容不一致</w:t>
            </w:r>
          </w:p>
        </w:tc>
        <w:tc>
          <w:tcPr>
            <w:tcW w:w="549" w:type="pct"/>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tcBorders>
              <w:bottom w:val="single" w:color="auto" w:sz="12"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8.病历内容应客观准确不得互相矛盾</w:t>
            </w:r>
          </w:p>
        </w:tc>
        <w:tc>
          <w:tcPr>
            <w:tcW w:w="1917" w:type="pct"/>
            <w:tcBorders>
              <w:bottom w:val="single" w:color="auto" w:sz="12" w:space="0"/>
            </w:tcBorders>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病历中记录内容互相矛盾</w:t>
            </w:r>
          </w:p>
        </w:tc>
        <w:tc>
          <w:tcPr>
            <w:tcW w:w="549" w:type="pct"/>
            <w:tcBorders>
              <w:bottom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3</w:t>
            </w:r>
          </w:p>
        </w:tc>
        <w:tc>
          <w:tcPr>
            <w:tcW w:w="235" w:type="pct"/>
            <w:tcBorders>
              <w:bottom w:val="single" w:color="auto" w:sz="12" w:space="0"/>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651" w:type="pct"/>
            <w:vMerge w:val="continue"/>
            <w:tcBorders>
              <w:left w:val="single" w:color="auto" w:sz="12" w:space="0"/>
            </w:tcBorders>
            <w:noWrap w:val="0"/>
            <w:vAlign w:val="center"/>
          </w:tcPr>
          <w:p>
            <w:pPr>
              <w:spacing w:line="240" w:lineRule="exact"/>
              <w:jc w:val="center"/>
              <w:rPr>
                <w:rFonts w:ascii="Times New Roman" w:hAnsi="Times New Roman" w:eastAsia="宋体" w:cs="Times New Roman"/>
                <w:b/>
                <w:color w:val="000000"/>
                <w:sz w:val="18"/>
                <w:szCs w:val="18"/>
              </w:rPr>
            </w:pPr>
          </w:p>
        </w:tc>
        <w:tc>
          <w:tcPr>
            <w:tcW w:w="1645"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9.病程大面积雷同</w:t>
            </w:r>
          </w:p>
        </w:tc>
        <w:tc>
          <w:tcPr>
            <w:tcW w:w="1917" w:type="pct"/>
            <w:noWrap w:val="0"/>
            <w:vAlign w:val="center"/>
          </w:tcPr>
          <w:p>
            <w:pPr>
              <w:spacing w:line="240" w:lineRule="exact"/>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病程大面积雷同，有复制粘贴嫌疑</w:t>
            </w:r>
          </w:p>
        </w:tc>
        <w:tc>
          <w:tcPr>
            <w:tcW w:w="549" w:type="pct"/>
            <w:noWrap w:val="0"/>
            <w:vAlign w:val="center"/>
          </w:tcPr>
          <w:p>
            <w:pPr>
              <w:spacing w:line="240" w:lineRule="exact"/>
              <w:ind w:firstLine="360" w:firstLineChars="200"/>
              <w:rPr>
                <w:rFonts w:ascii="Times New Roman" w:hAnsi="Times New Roman" w:eastAsia="宋体" w:cs="Times New Roman"/>
                <w:color w:val="000000"/>
                <w:sz w:val="18"/>
                <w:szCs w:val="18"/>
              </w:rPr>
            </w:pPr>
            <w:r>
              <w:rPr>
                <w:rFonts w:hint="eastAsia" w:ascii="Times New Roman" w:hAnsi="Times New Roman" w:eastAsia="宋体" w:cs="Times New Roman"/>
                <w:color w:val="000000"/>
                <w:sz w:val="18"/>
                <w:szCs w:val="18"/>
              </w:rPr>
              <w:t>5</w:t>
            </w:r>
          </w:p>
        </w:tc>
        <w:tc>
          <w:tcPr>
            <w:tcW w:w="235" w:type="pct"/>
            <w:tcBorders>
              <w:right w:val="single" w:color="auto" w:sz="12" w:space="0"/>
            </w:tcBorders>
            <w:noWrap w:val="0"/>
            <w:vAlign w:val="center"/>
          </w:tcPr>
          <w:p>
            <w:pPr>
              <w:spacing w:line="240" w:lineRule="exact"/>
              <w:jc w:val="center"/>
              <w:rPr>
                <w:rFonts w:ascii="Times New Roman" w:hAnsi="Times New Roman" w:eastAsia="宋体" w:cs="Times New Roman"/>
                <w:color w:val="000000"/>
                <w:sz w:val="18"/>
                <w:szCs w:val="18"/>
              </w:rPr>
            </w:pPr>
          </w:p>
        </w:tc>
      </w:tr>
    </w:tbl>
    <w:p>
      <w:pPr>
        <w:rPr>
          <w:rFonts w:ascii="Times New Roman" w:hAnsi="Times New Roman" w:eastAsia="宋体" w:cs="Times New Roman"/>
          <w:b/>
          <w:color w:val="000000"/>
        </w:rPr>
      </w:pPr>
      <w:r>
        <w:rPr>
          <w:rFonts w:hint="eastAsia" w:ascii="Times New Roman" w:hAnsi="Times New Roman" w:eastAsia="宋体" w:cs="Times New Roman"/>
          <w:b/>
          <w:color w:val="000000"/>
        </w:rPr>
        <w:t>说明：1.《住院病历质量评价用表》适用于终末病历和运行病历质量评价。</w:t>
      </w:r>
    </w:p>
    <w:p>
      <w:pPr>
        <w:ind w:firstLine="616" w:firstLineChars="292"/>
        <w:rPr>
          <w:rFonts w:ascii="Times New Roman" w:hAnsi="Times New Roman" w:eastAsia="宋体" w:cs="Times New Roman"/>
          <w:b/>
          <w:color w:val="000000"/>
        </w:rPr>
      </w:pPr>
      <w:r>
        <w:rPr>
          <w:rFonts w:hint="eastAsia" w:ascii="Times New Roman" w:hAnsi="Times New Roman" w:eastAsia="宋体" w:cs="Times New Roman"/>
          <w:b/>
          <w:color w:val="000000"/>
        </w:rPr>
        <w:t>2.终末病历评价总分100分，甲病历＞90分，90</w:t>
      </w:r>
      <w:r>
        <w:rPr>
          <w:rFonts w:hint="default" w:ascii="Times New Roman" w:hAnsi="Times New Roman" w:eastAsia="宋体" w:cs="Times New Roman"/>
          <w:b/>
          <w:color w:val="000000"/>
        </w:rPr>
        <w:t>≤</w:t>
      </w:r>
      <w:r>
        <w:rPr>
          <w:rFonts w:hint="eastAsia" w:ascii="Times New Roman" w:hAnsi="Times New Roman" w:eastAsia="宋体" w:cs="Times New Roman"/>
          <w:b/>
          <w:color w:val="000000"/>
        </w:rPr>
        <w:t>乙级病历≥75，丙级病历</w:t>
      </w:r>
      <w:r>
        <w:rPr>
          <w:rFonts w:hint="eastAsia" w:ascii="宋体" w:hAnsi="宋体" w:eastAsia="宋体" w:cs="宋体"/>
          <w:b/>
          <w:color w:val="000000"/>
        </w:rPr>
        <w:t>&lt;</w:t>
      </w:r>
      <w:r>
        <w:rPr>
          <w:rFonts w:hint="eastAsia" w:ascii="Times New Roman" w:hAnsi="Times New Roman" w:eastAsia="宋体" w:cs="Times New Roman"/>
          <w:b/>
          <w:color w:val="000000"/>
        </w:rPr>
        <w:t>75分。</w:t>
      </w:r>
    </w:p>
    <w:p>
      <w:pPr>
        <w:ind w:left="816" w:leftChars="290" w:hanging="207" w:hangingChars="98"/>
        <w:rPr>
          <w:rFonts w:ascii="Times New Roman" w:hAnsi="Times New Roman" w:eastAsia="宋体" w:cs="Times New Roman"/>
          <w:b/>
          <w:color w:val="000000"/>
        </w:rPr>
      </w:pPr>
      <w:r>
        <w:rPr>
          <w:rFonts w:hint="eastAsia" w:ascii="Times New Roman" w:hAnsi="Times New Roman" w:eastAsia="宋体" w:cs="Times New Roman"/>
          <w:b/>
          <w:color w:val="000000"/>
        </w:rPr>
        <w:t>3. 项目前注“*”的，为单项否决项目，表中所列“单项否决”共计29项，每项扣分10分；违反一项以上者定为丙级病历。</w:t>
      </w:r>
    </w:p>
    <w:p>
      <w:pPr>
        <w:ind w:firstLine="616" w:firstLineChars="292"/>
        <w:rPr>
          <w:rFonts w:ascii="Times New Roman" w:hAnsi="Times New Roman" w:eastAsia="宋体" w:cs="Times New Roman"/>
          <w:b/>
          <w:color w:val="000000"/>
        </w:rPr>
      </w:pPr>
      <w:r>
        <w:rPr>
          <w:rFonts w:hint="eastAsia" w:ascii="Times New Roman" w:hAnsi="Times New Roman" w:eastAsia="宋体" w:cs="Times New Roman"/>
          <w:b/>
          <w:color w:val="000000"/>
        </w:rPr>
        <w:t>4.每一书写项目内扣分采取累加的计分办法，扣分最多不超过本项目的标准分值（单项否决除外）。</w:t>
      </w:r>
    </w:p>
    <w:p>
      <w:pPr>
        <w:ind w:firstLine="616" w:firstLineChars="292"/>
        <w:rPr>
          <w:rFonts w:hint="eastAsia" w:ascii="宋体" w:hAnsi="宋体" w:eastAsia="宋体" w:cs="Times New Roman"/>
          <w:color w:val="000000"/>
          <w:sz w:val="28"/>
          <w:szCs w:val="28"/>
        </w:rPr>
      </w:pPr>
      <w:r>
        <w:rPr>
          <w:rFonts w:hint="eastAsia" w:ascii="Times New Roman" w:hAnsi="Times New Roman" w:eastAsia="宋体" w:cs="Times New Roman"/>
          <w:b/>
          <w:color w:val="000000"/>
        </w:rPr>
        <w:t>5.对病历中严重不符合规范的缺陷，而本表未能涉及的可说明理由直接扣分。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94B3F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3"/>
    <w:basedOn w:val="1"/>
    <w:qFormat/>
    <w:uiPriority w:val="0"/>
    <w:pPr>
      <w:spacing w:after="120"/>
    </w:pPr>
    <w:rPr>
      <w:rFonts w:ascii="Times New Roman" w:hAnsi="Times New Roman" w:eastAsia="宋体" w:cs="Times New Roman"/>
      <w:sz w:val="16"/>
      <w:szCs w:val="16"/>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2020-06-15T06:56:35Z</dcterms:created>
  <dc:creator>Administrator</dc:creator>
  <cp:lastModifiedBy>感觉无趣</cp:lastModifiedBy>
  <dcterms:modified xsi:type="dcterms:W3CDTF">2020-06-15T06:56:52Z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