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D9" w:rsidRDefault="00505B77">
      <w:pPr>
        <w:pStyle w:val="2"/>
        <w:spacing w:before="0" w:after="0" w:line="560" w:lineRule="exact"/>
        <w:ind w:firstLineChars="0" w:firstLine="0"/>
        <w:jc w:val="left"/>
        <w:rPr>
          <w:rFonts w:ascii="仿宋_GB2312" w:eastAsia="仿宋_GB2312" w:hAnsi="仿宋_GB2312" w:cs="仿宋_GB2312"/>
          <w:b w:val="0"/>
          <w:color w:val="000000" w:themeColor="text1"/>
          <w:sz w:val="28"/>
          <w:szCs w:val="28"/>
        </w:rPr>
      </w:pPr>
      <w:r>
        <w:rPr>
          <w:rFonts w:ascii="仿宋_GB2312" w:eastAsia="仿宋_GB2312" w:hAnsi="仿宋_GB2312" w:cs="仿宋_GB2312" w:hint="eastAsia"/>
          <w:b w:val="0"/>
          <w:color w:val="000000" w:themeColor="text1"/>
          <w:sz w:val="28"/>
          <w:szCs w:val="28"/>
        </w:rPr>
        <w:t>附件6：</w:t>
      </w:r>
    </w:p>
    <w:p w:rsidR="002B1AD9" w:rsidRDefault="00505B77">
      <w:pPr>
        <w:pStyle w:val="2"/>
        <w:spacing w:before="0" w:after="0" w:line="560" w:lineRule="exact"/>
        <w:ind w:firstLineChars="0" w:firstLine="0"/>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安康市“一老一小”重大要素清单</w:t>
      </w:r>
    </w:p>
    <w:tbl>
      <w:tblPr>
        <w:tblStyle w:val="a7"/>
        <w:tblW w:w="14163" w:type="dxa"/>
        <w:tblLayout w:type="fixed"/>
        <w:tblLook w:val="04A0"/>
      </w:tblPr>
      <w:tblGrid>
        <w:gridCol w:w="734"/>
        <w:gridCol w:w="1635"/>
        <w:gridCol w:w="4827"/>
        <w:gridCol w:w="3685"/>
        <w:gridCol w:w="3282"/>
      </w:tblGrid>
      <w:tr w:rsidR="002B1AD9">
        <w:tc>
          <w:tcPr>
            <w:tcW w:w="734" w:type="dxa"/>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类别</w:t>
            </w:r>
          </w:p>
        </w:tc>
        <w:tc>
          <w:tcPr>
            <w:tcW w:w="1635" w:type="dxa"/>
            <w:vAlign w:val="center"/>
          </w:tcPr>
          <w:p w:rsidR="002B1AD9" w:rsidRDefault="00505B77">
            <w:pPr>
              <w:spacing w:line="240" w:lineRule="auto"/>
              <w:ind w:firstLineChars="150" w:firstLine="315"/>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要素名称</w:t>
            </w:r>
          </w:p>
        </w:tc>
        <w:tc>
          <w:tcPr>
            <w:tcW w:w="4827" w:type="dxa"/>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十四五保障措施</w:t>
            </w:r>
          </w:p>
        </w:tc>
        <w:tc>
          <w:tcPr>
            <w:tcW w:w="3685" w:type="dxa"/>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预期目标</w:t>
            </w:r>
          </w:p>
        </w:tc>
        <w:tc>
          <w:tcPr>
            <w:tcW w:w="3282" w:type="dxa"/>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责任单位</w:t>
            </w:r>
          </w:p>
        </w:tc>
      </w:tr>
      <w:tr w:rsidR="002B1AD9">
        <w:trPr>
          <w:trHeight w:val="1098"/>
        </w:trPr>
        <w:tc>
          <w:tcPr>
            <w:tcW w:w="734" w:type="dxa"/>
            <w:vMerge w:val="restart"/>
            <w:vAlign w:val="center"/>
          </w:tcPr>
          <w:p w:rsidR="002B1AD9" w:rsidRDefault="00505B77">
            <w:pPr>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经费要素</w:t>
            </w: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1.争取中省资金支持</w:t>
            </w:r>
          </w:p>
        </w:tc>
        <w:tc>
          <w:tcPr>
            <w:tcW w:w="4827"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根据国家投资方向和相关政策，策划包装一批养老托育项目,积极争取中央和省级资金支持。</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十四五期间，有经费保障兜底、普惠养老托育服务有效运行并完成建设目标。</w:t>
            </w:r>
          </w:p>
        </w:tc>
        <w:tc>
          <w:tcPr>
            <w:tcW w:w="3282"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市发改委、市财政局、市民政局、市卫健委，各县（市、区）人民政府分工负责。</w:t>
            </w:r>
          </w:p>
        </w:tc>
      </w:tr>
      <w:tr w:rsidR="002B1AD9">
        <w:trPr>
          <w:trHeight w:val="1401"/>
        </w:trPr>
        <w:tc>
          <w:tcPr>
            <w:tcW w:w="734" w:type="dxa"/>
            <w:vMerge/>
            <w:vAlign w:val="center"/>
          </w:tcPr>
          <w:p w:rsidR="002B1AD9" w:rsidRDefault="002B1AD9">
            <w:pPr>
              <w:spacing w:line="240" w:lineRule="auto"/>
              <w:ind w:firstLineChars="0" w:firstLine="0"/>
              <w:jc w:val="left"/>
              <w:rPr>
                <w:rFonts w:ascii="宋体" w:eastAsia="宋体" w:hAnsi="宋体" w:cs="宋体"/>
                <w:color w:val="000000" w:themeColor="text1"/>
                <w:kern w:val="0"/>
                <w:sz w:val="21"/>
                <w:szCs w:val="21"/>
              </w:rPr>
            </w:pPr>
          </w:p>
        </w:tc>
        <w:tc>
          <w:tcPr>
            <w:tcW w:w="163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2.市财政专项养老托育支持资金</w:t>
            </w:r>
          </w:p>
          <w:p w:rsidR="002B1AD9" w:rsidRDefault="002B1AD9">
            <w:pPr>
              <w:spacing w:line="240" w:lineRule="auto"/>
              <w:ind w:firstLineChars="0" w:firstLine="0"/>
              <w:rPr>
                <w:rFonts w:ascii="宋体" w:eastAsia="宋体" w:hAnsi="宋体" w:cs="宋体"/>
                <w:color w:val="000000" w:themeColor="text1"/>
                <w:kern w:val="0"/>
                <w:sz w:val="21"/>
                <w:szCs w:val="21"/>
              </w:rPr>
            </w:pPr>
          </w:p>
        </w:tc>
        <w:tc>
          <w:tcPr>
            <w:tcW w:w="4827"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市财政每年拿出1500</w:t>
            </w:r>
            <w:r w:rsidR="00F95075">
              <w:rPr>
                <w:rFonts w:ascii="宋体" w:eastAsia="宋体" w:hAnsi="宋体" w:cs="宋体" w:hint="eastAsia"/>
                <w:color w:val="000000" w:themeColor="text1"/>
                <w:sz w:val="21"/>
                <w:szCs w:val="21"/>
              </w:rPr>
              <w:t>万元支持养老、托育事业发展，每年补贴养老服务事业的福利彩票</w:t>
            </w:r>
            <w:r>
              <w:rPr>
                <w:rFonts w:ascii="宋体" w:eastAsia="宋体" w:hAnsi="宋体" w:cs="宋体" w:hint="eastAsia"/>
                <w:color w:val="000000" w:themeColor="text1"/>
                <w:sz w:val="21"/>
                <w:szCs w:val="21"/>
              </w:rPr>
              <w:t>公益金不低于60%。</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十四五期间，有经费保障兜底、普惠养老托育服务有效运行并完成建设目标。</w:t>
            </w:r>
          </w:p>
        </w:tc>
        <w:tc>
          <w:tcPr>
            <w:tcW w:w="3282" w:type="dxa"/>
            <w:vAlign w:val="center"/>
          </w:tcPr>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市财政局、市民政局、市卫健委、市发改委，各县（市、区）人民政府按职责分工负责。</w:t>
            </w:r>
          </w:p>
        </w:tc>
      </w:tr>
      <w:tr w:rsidR="002B1AD9">
        <w:trPr>
          <w:trHeight w:val="1665"/>
        </w:trPr>
        <w:tc>
          <w:tcPr>
            <w:tcW w:w="734" w:type="dxa"/>
            <w:vMerge/>
            <w:vAlign w:val="center"/>
          </w:tcPr>
          <w:p w:rsidR="002B1AD9" w:rsidRDefault="002B1AD9">
            <w:pPr>
              <w:spacing w:line="240" w:lineRule="auto"/>
              <w:ind w:firstLineChars="0" w:firstLine="0"/>
              <w:jc w:val="left"/>
              <w:rPr>
                <w:rFonts w:ascii="宋体" w:eastAsia="宋体" w:hAnsi="宋体" w:cs="宋体"/>
                <w:color w:val="000000" w:themeColor="text1"/>
                <w:kern w:val="0"/>
                <w:sz w:val="21"/>
                <w:szCs w:val="21"/>
              </w:rPr>
            </w:pP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3.减税降费</w:t>
            </w:r>
          </w:p>
        </w:tc>
        <w:tc>
          <w:tcPr>
            <w:tcW w:w="4827"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全面落实养老托育服务机构有关税收优惠、行政事业性收费减免和建设补助、运营补贴等优惠政策。严格落实养老托育机构用水、用电、用气按照居民生活类价格标准收费。</w:t>
            </w:r>
          </w:p>
        </w:tc>
        <w:tc>
          <w:tcPr>
            <w:tcW w:w="3685" w:type="dxa"/>
          </w:tcPr>
          <w:p w:rsidR="002B1AD9" w:rsidRDefault="00F95075" w:rsidP="00F95075">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减税降费力保兜底</w:t>
            </w:r>
            <w:r w:rsidR="00505B77">
              <w:rPr>
                <w:rFonts w:ascii="宋体" w:eastAsia="宋体" w:hAnsi="宋体" w:cs="宋体" w:hint="eastAsia"/>
                <w:color w:val="000000" w:themeColor="text1"/>
                <w:kern w:val="0"/>
                <w:sz w:val="21"/>
                <w:szCs w:val="21"/>
              </w:rPr>
              <w:t>、普惠养老托育服务有效运行和完成建设目标。</w:t>
            </w:r>
          </w:p>
        </w:tc>
        <w:tc>
          <w:tcPr>
            <w:tcW w:w="3282" w:type="dxa"/>
            <w:vAlign w:val="center"/>
          </w:tcPr>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市税务局、市财政局、市发改委、市民政局、市卫健委，各县（市、区）人民政府按职责分工负责。</w:t>
            </w:r>
          </w:p>
        </w:tc>
      </w:tr>
      <w:tr w:rsidR="002B1AD9">
        <w:tc>
          <w:tcPr>
            <w:tcW w:w="734" w:type="dxa"/>
            <w:vMerge/>
            <w:vAlign w:val="center"/>
          </w:tcPr>
          <w:p w:rsidR="002B1AD9" w:rsidRDefault="002B1AD9">
            <w:pPr>
              <w:spacing w:line="240" w:lineRule="auto"/>
              <w:ind w:firstLineChars="0" w:firstLine="0"/>
              <w:jc w:val="center"/>
              <w:rPr>
                <w:rFonts w:ascii="宋体" w:eastAsia="宋体" w:hAnsi="宋体" w:cs="宋体"/>
                <w:color w:val="000000" w:themeColor="text1"/>
                <w:kern w:val="0"/>
                <w:sz w:val="21"/>
                <w:szCs w:val="21"/>
              </w:rPr>
            </w:pP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4.放宽信贷政策</w:t>
            </w:r>
          </w:p>
        </w:tc>
        <w:tc>
          <w:tcPr>
            <w:tcW w:w="4827"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鼓励银行业金融机构开发养老托育特色信贷产品，探索提供优惠利率支持，灵活提供循环贷款、年审制贷款、分期还本付息等多种贷款产品和服务，推进应收账款质押贷款，探索收费权质押贷款，落实信贷人员尽职免责政策。支持符合条件的养老企业通过专项债券融资，积极发挥担保增信机构作用，为中小养老托育服务企业融资提供增信支持。</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积极为养老、托育服务机构建立融资平台，破解发展资金不足、融资能力不强的问题。</w:t>
            </w:r>
          </w:p>
        </w:tc>
        <w:tc>
          <w:tcPr>
            <w:tcW w:w="3282"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人行安康市中心支行、安康银保监分局、市民政局、市卫健委按职责分工负责。</w:t>
            </w:r>
          </w:p>
        </w:tc>
      </w:tr>
      <w:tr w:rsidR="002B1AD9">
        <w:trPr>
          <w:trHeight w:val="2652"/>
        </w:trPr>
        <w:tc>
          <w:tcPr>
            <w:tcW w:w="734" w:type="dxa"/>
            <w:vMerge w:val="restart"/>
            <w:vAlign w:val="center"/>
          </w:tcPr>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lastRenderedPageBreak/>
              <w:t>人才</w:t>
            </w:r>
          </w:p>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要素</w:t>
            </w: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1.养老托育人员技能提升专项行动计划</w:t>
            </w:r>
          </w:p>
        </w:tc>
        <w:tc>
          <w:tcPr>
            <w:tcW w:w="4827" w:type="dxa"/>
          </w:tcPr>
          <w:p w:rsidR="002B1AD9" w:rsidRDefault="00505B77">
            <w:pPr>
              <w:spacing w:line="240" w:lineRule="auto"/>
              <w:ind w:firstLineChars="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启动“养老托育人员技能提升专项行动计划”和“1+X”老年照护和婴幼儿照护证书试点和推广，建立县、镇（街道）、社区三级养老托育服务人才队伍体系。健全养老托育服务机构从业人员岗前技能培训和职业技能提升培训制度。</w:t>
            </w:r>
            <w:r>
              <w:rPr>
                <w:rFonts w:ascii="宋体" w:eastAsia="宋体" w:hAnsi="宋体" w:cs="宋体" w:hint="eastAsia"/>
                <w:color w:val="000000" w:themeColor="text1"/>
                <w:kern w:val="0"/>
                <w:sz w:val="21"/>
                <w:szCs w:val="21"/>
              </w:rPr>
              <w:t>支持社会培训机构与企业合作，开展企业管理、领导能力提升培训。</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十四五期间，</w:t>
            </w:r>
            <w:r>
              <w:rPr>
                <w:rFonts w:ascii="宋体" w:eastAsia="宋体" w:hAnsi="宋体" w:cs="宋体" w:hint="eastAsia"/>
                <w:sz w:val="21"/>
                <w:szCs w:val="21"/>
              </w:rPr>
              <w:t>培训养老、托育从业人员各5000人次，养老托育从业人员培训率达100%，培训养老机构、托育机构负责人150人左右</w:t>
            </w:r>
            <w:r>
              <w:rPr>
                <w:rFonts w:ascii="宋体" w:eastAsia="宋体" w:hAnsi="宋体" w:cs="宋体" w:hint="eastAsia"/>
                <w:color w:val="000000" w:themeColor="text1"/>
                <w:sz w:val="21"/>
                <w:szCs w:val="21"/>
              </w:rPr>
              <w:t>，保障养老托育专业人才需求。</w:t>
            </w:r>
          </w:p>
        </w:tc>
        <w:tc>
          <w:tcPr>
            <w:tcW w:w="3282" w:type="dxa"/>
            <w:vAlign w:val="center"/>
          </w:tcPr>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市人社局、市民政局、市教体局，各县（市、区）人</w:t>
            </w:r>
            <w:r w:rsidR="00F95075">
              <w:rPr>
                <w:rFonts w:ascii="宋体" w:eastAsia="宋体" w:hAnsi="宋体" w:cs="宋体" w:hint="eastAsia"/>
                <w:color w:val="000000" w:themeColor="text1"/>
                <w:kern w:val="0"/>
                <w:sz w:val="21"/>
                <w:szCs w:val="21"/>
              </w:rPr>
              <w:t>民</w:t>
            </w:r>
            <w:r>
              <w:rPr>
                <w:rFonts w:ascii="宋体" w:eastAsia="宋体" w:hAnsi="宋体" w:cs="宋体" w:hint="eastAsia"/>
                <w:color w:val="000000" w:themeColor="text1"/>
                <w:kern w:val="0"/>
                <w:sz w:val="21"/>
                <w:szCs w:val="21"/>
              </w:rPr>
              <w:t>政府按职责分工负责</w:t>
            </w:r>
          </w:p>
        </w:tc>
      </w:tr>
      <w:tr w:rsidR="002B1AD9">
        <w:trPr>
          <w:trHeight w:val="561"/>
        </w:trPr>
        <w:tc>
          <w:tcPr>
            <w:tcW w:w="734" w:type="dxa"/>
            <w:vMerge/>
            <w:vAlign w:val="center"/>
          </w:tcPr>
          <w:p w:rsidR="002B1AD9" w:rsidRDefault="002B1AD9">
            <w:pPr>
              <w:spacing w:line="240" w:lineRule="auto"/>
              <w:ind w:firstLineChars="0" w:firstLine="0"/>
              <w:jc w:val="left"/>
              <w:rPr>
                <w:rFonts w:ascii="宋体" w:eastAsia="宋体" w:hAnsi="宋体" w:cs="宋体"/>
                <w:color w:val="000000" w:themeColor="text1"/>
                <w:kern w:val="0"/>
                <w:sz w:val="21"/>
                <w:szCs w:val="21"/>
              </w:rPr>
            </w:pPr>
          </w:p>
        </w:tc>
        <w:tc>
          <w:tcPr>
            <w:tcW w:w="1635" w:type="dxa"/>
          </w:tcPr>
          <w:p w:rsidR="002B1AD9" w:rsidRDefault="00505B77">
            <w:pPr>
              <w:spacing w:line="240" w:lineRule="auto"/>
              <w:ind w:firstLineChars="0"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2.养老托育人才培养国际交流项目</w:t>
            </w:r>
          </w:p>
        </w:tc>
        <w:tc>
          <w:tcPr>
            <w:tcW w:w="4827" w:type="dxa"/>
            <w:vAlign w:val="center"/>
          </w:tcPr>
          <w:p w:rsidR="002B1AD9" w:rsidRDefault="00505B77">
            <w:pPr>
              <w:spacing w:line="240" w:lineRule="auto"/>
              <w:ind w:firstLineChars="95" w:firstLine="199"/>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养老托育人才培养国际交流，为安康培养和储备专业人才。</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开展养老托育人才培养的国际交流与合作。</w:t>
            </w:r>
          </w:p>
        </w:tc>
        <w:tc>
          <w:tcPr>
            <w:tcW w:w="3282" w:type="dxa"/>
            <w:vAlign w:val="center"/>
          </w:tcPr>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市教体局、市民政局、市卫健委、市人社局按职责分工负责。</w:t>
            </w:r>
          </w:p>
        </w:tc>
      </w:tr>
      <w:tr w:rsidR="002B1AD9">
        <w:trPr>
          <w:trHeight w:val="1134"/>
        </w:trPr>
        <w:tc>
          <w:tcPr>
            <w:tcW w:w="734" w:type="dxa"/>
            <w:vMerge/>
            <w:vAlign w:val="center"/>
          </w:tcPr>
          <w:p w:rsidR="002B1AD9" w:rsidRDefault="002B1AD9">
            <w:pPr>
              <w:spacing w:line="240" w:lineRule="auto"/>
              <w:ind w:firstLineChars="0" w:firstLine="0"/>
              <w:jc w:val="left"/>
              <w:rPr>
                <w:rFonts w:ascii="宋体" w:eastAsia="宋体" w:hAnsi="宋体" w:cs="宋体"/>
                <w:color w:val="000000" w:themeColor="text1"/>
                <w:kern w:val="0"/>
                <w:sz w:val="21"/>
                <w:szCs w:val="21"/>
              </w:rPr>
            </w:pP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3.康养产业学院建设项目</w:t>
            </w:r>
          </w:p>
        </w:tc>
        <w:tc>
          <w:tcPr>
            <w:tcW w:w="4827"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在安康职业技术学院内，以护理、老年保健与管理、康复、婴幼儿托育服务与管理专业为主体，与地方行业企业共建康养产业学院。</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年培养养老和托育学历教育1000人/年，并提供政策咨询、标准研制和产品研发。</w:t>
            </w:r>
          </w:p>
        </w:tc>
        <w:tc>
          <w:tcPr>
            <w:tcW w:w="3282" w:type="dxa"/>
            <w:vAlign w:val="center"/>
          </w:tcPr>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市民政局、市教体局、市卫健委，安康职业技术学院按职责分工负责</w:t>
            </w:r>
          </w:p>
        </w:tc>
      </w:tr>
      <w:tr w:rsidR="002B1AD9">
        <w:trPr>
          <w:trHeight w:val="3820"/>
        </w:trPr>
        <w:tc>
          <w:tcPr>
            <w:tcW w:w="734" w:type="dxa"/>
            <w:vMerge w:val="restart"/>
            <w:vAlign w:val="center"/>
          </w:tcPr>
          <w:p w:rsidR="002B1AD9" w:rsidRDefault="002B1AD9">
            <w:pPr>
              <w:spacing w:line="240" w:lineRule="auto"/>
              <w:ind w:firstLineChars="0" w:firstLine="0"/>
              <w:jc w:val="left"/>
              <w:rPr>
                <w:rFonts w:ascii="宋体" w:eastAsia="宋体" w:hAnsi="宋体" w:cs="宋体"/>
                <w:color w:val="000000" w:themeColor="text1"/>
                <w:kern w:val="0"/>
                <w:sz w:val="21"/>
                <w:szCs w:val="21"/>
              </w:rPr>
            </w:pPr>
          </w:p>
          <w:p w:rsidR="00E25CE8" w:rsidRDefault="00E25CE8" w:rsidP="00E25CE8">
            <w:pPr>
              <w:pStyle w:val="NormalIndent1"/>
              <w:ind w:firstLine="640"/>
            </w:pPr>
          </w:p>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场地要素</w:t>
            </w:r>
          </w:p>
          <w:p w:rsidR="002B1AD9" w:rsidRDefault="002B1AD9">
            <w:pPr>
              <w:spacing w:line="240" w:lineRule="auto"/>
              <w:ind w:firstLineChars="0" w:firstLine="0"/>
              <w:rPr>
                <w:rFonts w:ascii="宋体" w:eastAsia="宋体" w:hAnsi="宋体" w:cs="宋体"/>
                <w:color w:val="000000" w:themeColor="text1"/>
                <w:kern w:val="0"/>
                <w:sz w:val="21"/>
                <w:szCs w:val="21"/>
              </w:rPr>
            </w:pPr>
          </w:p>
          <w:p w:rsidR="002B1AD9" w:rsidRDefault="002B1AD9">
            <w:pPr>
              <w:spacing w:line="240" w:lineRule="auto"/>
              <w:ind w:firstLineChars="0" w:firstLine="0"/>
              <w:rPr>
                <w:rFonts w:ascii="宋体" w:eastAsia="宋体" w:hAnsi="宋体" w:cs="宋体"/>
                <w:color w:val="000000" w:themeColor="text1"/>
                <w:kern w:val="0"/>
                <w:sz w:val="21"/>
                <w:szCs w:val="21"/>
              </w:rPr>
            </w:pPr>
          </w:p>
          <w:p w:rsidR="002B1AD9" w:rsidRDefault="002B1AD9">
            <w:pPr>
              <w:spacing w:line="240" w:lineRule="auto"/>
              <w:ind w:firstLineChars="0" w:firstLine="0"/>
              <w:rPr>
                <w:rFonts w:ascii="宋体" w:eastAsia="宋体" w:hAnsi="宋体" w:cs="宋体"/>
                <w:color w:val="000000" w:themeColor="text1"/>
                <w:kern w:val="0"/>
                <w:sz w:val="21"/>
                <w:szCs w:val="21"/>
              </w:rPr>
            </w:pPr>
          </w:p>
          <w:p w:rsidR="002B1AD9" w:rsidRDefault="002B1AD9">
            <w:pPr>
              <w:spacing w:line="240" w:lineRule="auto"/>
              <w:ind w:firstLineChars="0" w:firstLine="0"/>
              <w:rPr>
                <w:rFonts w:ascii="宋体" w:eastAsia="宋体" w:hAnsi="宋体" w:cs="宋体"/>
                <w:color w:val="000000" w:themeColor="text1"/>
                <w:kern w:val="0"/>
                <w:sz w:val="21"/>
                <w:szCs w:val="21"/>
              </w:rPr>
            </w:pPr>
          </w:p>
          <w:p w:rsidR="002B1AD9" w:rsidRDefault="002B1AD9">
            <w:pPr>
              <w:spacing w:line="240" w:lineRule="auto"/>
              <w:ind w:firstLineChars="0" w:firstLine="0"/>
              <w:rPr>
                <w:rFonts w:ascii="宋体" w:eastAsia="宋体" w:hAnsi="宋体" w:cs="宋体"/>
                <w:color w:val="000000" w:themeColor="text1"/>
                <w:kern w:val="0"/>
                <w:sz w:val="21"/>
                <w:szCs w:val="21"/>
              </w:rPr>
            </w:pPr>
          </w:p>
          <w:p w:rsidR="002B1AD9" w:rsidRDefault="002B1AD9">
            <w:pPr>
              <w:spacing w:line="240" w:lineRule="auto"/>
              <w:ind w:firstLineChars="0" w:firstLine="0"/>
              <w:rPr>
                <w:rFonts w:ascii="宋体" w:eastAsia="宋体" w:hAnsi="宋体" w:cs="宋体"/>
                <w:color w:val="000000" w:themeColor="text1"/>
                <w:kern w:val="0"/>
                <w:sz w:val="21"/>
                <w:szCs w:val="21"/>
              </w:rPr>
            </w:pPr>
          </w:p>
          <w:p w:rsidR="002B1AD9" w:rsidRDefault="002B1AD9">
            <w:pPr>
              <w:ind w:firstLine="420"/>
              <w:rPr>
                <w:rFonts w:ascii="宋体" w:eastAsia="宋体" w:hAnsi="宋体" w:cs="宋体"/>
                <w:color w:val="000000" w:themeColor="text1"/>
                <w:kern w:val="0"/>
                <w:sz w:val="21"/>
                <w:szCs w:val="21"/>
              </w:rPr>
            </w:pP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lastRenderedPageBreak/>
              <w:t>1.充分保障养老托育服务用地用房</w:t>
            </w:r>
          </w:p>
        </w:tc>
        <w:tc>
          <w:tcPr>
            <w:tcW w:w="4827"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将养老托育服务设施建设纳入城乡社区配套用房建设范围。新建居住小区每千人口不少于0.1平方米养老用房、不少于10个托位托育用房，全面开展城镇配套养老服务设施专项治理，支持老城区和已建成居住小区通过购买、置换、租赁等方式配置养老服务设施。已建成小区养老服务设施不足的，支持通过盘活利用存量资源改造为养老</w:t>
            </w:r>
            <w:r w:rsidR="00F95075">
              <w:rPr>
                <w:rFonts w:ascii="宋体" w:eastAsia="宋体" w:hAnsi="宋体" w:cs="宋体" w:hint="eastAsia"/>
                <w:color w:val="000000" w:themeColor="text1"/>
                <w:kern w:val="0"/>
                <w:sz w:val="21"/>
                <w:szCs w:val="21"/>
              </w:rPr>
              <w:t>托育</w:t>
            </w:r>
            <w:r>
              <w:rPr>
                <w:rFonts w:ascii="宋体" w:eastAsia="宋体" w:hAnsi="宋体" w:cs="宋体" w:hint="eastAsia"/>
                <w:color w:val="000000" w:themeColor="text1"/>
                <w:kern w:val="0"/>
                <w:sz w:val="21"/>
                <w:szCs w:val="21"/>
              </w:rPr>
              <w:t>服务设施等措施。</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新建小区按照标准建设，老旧城区、已建成居住（小）区基本完成整改。</w:t>
            </w:r>
          </w:p>
        </w:tc>
        <w:tc>
          <w:tcPr>
            <w:tcW w:w="3282" w:type="dxa"/>
            <w:vAlign w:val="center"/>
          </w:tcPr>
          <w:p w:rsidR="002B1AD9" w:rsidRDefault="00505B77">
            <w:pPr>
              <w:spacing w:line="240" w:lineRule="auto"/>
              <w:ind w:firstLineChars="0" w:firstLine="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市财政局、市自然资源局、市住建局、市民政局、各县（市、区）人民政府按职责分工负责</w:t>
            </w:r>
          </w:p>
        </w:tc>
      </w:tr>
      <w:tr w:rsidR="002B1AD9">
        <w:tc>
          <w:tcPr>
            <w:tcW w:w="734" w:type="dxa"/>
            <w:vMerge/>
          </w:tcPr>
          <w:p w:rsidR="002B1AD9" w:rsidRDefault="002B1AD9">
            <w:pPr>
              <w:spacing w:line="240" w:lineRule="auto"/>
              <w:ind w:firstLineChars="0" w:firstLine="0"/>
              <w:rPr>
                <w:rFonts w:ascii="宋体" w:eastAsia="宋体" w:hAnsi="宋体" w:cs="宋体"/>
                <w:color w:val="000000" w:themeColor="text1"/>
                <w:kern w:val="0"/>
                <w:sz w:val="21"/>
                <w:szCs w:val="21"/>
              </w:rPr>
            </w:pP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2.安康养老托育用品展示中心</w:t>
            </w:r>
          </w:p>
        </w:tc>
        <w:tc>
          <w:tcPr>
            <w:tcW w:w="4827" w:type="dxa"/>
            <w:vAlign w:val="center"/>
          </w:tcPr>
          <w:p w:rsidR="002B1AD9" w:rsidRDefault="00505B77">
            <w:pPr>
              <w:spacing w:line="240" w:lineRule="auto"/>
              <w:ind w:firstLineChars="0" w:firstLine="0"/>
              <w:rPr>
                <w:rFonts w:ascii="宋体" w:eastAsia="宋体" w:hAnsi="宋体" w:cs="宋体"/>
                <w:color w:val="000000" w:themeColor="text1"/>
                <w:sz w:val="18"/>
                <w:szCs w:val="18"/>
              </w:rPr>
            </w:pPr>
            <w:r>
              <w:rPr>
                <w:rFonts w:ascii="宋体" w:eastAsia="宋体" w:hAnsi="宋体" w:cs="宋体" w:hint="eastAsia"/>
                <w:color w:val="000000"/>
                <w:kern w:val="0"/>
                <w:sz w:val="21"/>
                <w:szCs w:val="21"/>
              </w:rPr>
              <w:t>在高新区建设养老托育用品展示中心。展示中心用品覆盖</w:t>
            </w:r>
            <w:r>
              <w:rPr>
                <w:rFonts w:ascii="宋体" w:eastAsia="宋体" w:hAnsi="宋体" w:cs="宋体" w:hint="eastAsia"/>
                <w:color w:val="000000"/>
                <w:sz w:val="21"/>
                <w:szCs w:val="21"/>
                <w:shd w:val="clear" w:color="auto" w:fill="F9F9F9"/>
              </w:rPr>
              <w:t>养老托育辅具及设施，如助行类、助洁类、护理类、如厕类、护具类、进食类、医疗类、益智类、智能类、生活自助类等，</w:t>
            </w:r>
            <w:r>
              <w:rPr>
                <w:rFonts w:ascii="宋体" w:eastAsia="宋体" w:hAnsi="宋体" w:cs="宋体" w:hint="eastAsia"/>
                <w:color w:val="000000"/>
                <w:kern w:val="0"/>
                <w:sz w:val="21"/>
                <w:szCs w:val="21"/>
              </w:rPr>
              <w:t>打造安康养老托育用品展示中心。同时带动安康本土产品研发生产，以富硒茶、魔芋、生猪、核桃、生态鱼、包装饮用水等为重点，研发生产老年人喜爱的饮料、休闲食品、营养食品、方便食品和酒品等富硒老年食品；推动康复辅助器具进社区，开展租赁服务；支持毛绒玩具文创产业企业，设计开发适宜老年人和婴幼儿的毛绒玩具；推进智能养老机器人、老年人智能穿戴、老年人智能安防等产品研发制造。</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展示中心用品覆盖</w:t>
            </w:r>
            <w:r>
              <w:rPr>
                <w:rFonts w:ascii="宋体" w:eastAsia="宋体" w:hAnsi="宋体" w:cs="宋体"/>
                <w:color w:val="000000" w:themeColor="text1"/>
                <w:sz w:val="21"/>
                <w:szCs w:val="21"/>
              </w:rPr>
              <w:t>养老</w:t>
            </w:r>
            <w:r>
              <w:rPr>
                <w:rFonts w:ascii="宋体" w:eastAsia="宋体" w:hAnsi="宋体" w:cs="宋体" w:hint="eastAsia"/>
                <w:color w:val="000000" w:themeColor="text1"/>
                <w:sz w:val="21"/>
                <w:szCs w:val="21"/>
              </w:rPr>
              <w:t>托育</w:t>
            </w:r>
            <w:r>
              <w:rPr>
                <w:rFonts w:ascii="宋体" w:eastAsia="宋体" w:hAnsi="宋体" w:cs="宋体"/>
                <w:color w:val="000000" w:themeColor="text1"/>
                <w:sz w:val="21"/>
                <w:szCs w:val="21"/>
              </w:rPr>
              <w:t>辅具及设施</w:t>
            </w:r>
            <w:r>
              <w:rPr>
                <w:rFonts w:ascii="宋体" w:eastAsia="宋体" w:hAnsi="宋体" w:cs="宋体" w:hint="eastAsia"/>
                <w:color w:val="000000" w:themeColor="text1"/>
                <w:sz w:val="21"/>
                <w:szCs w:val="21"/>
              </w:rPr>
              <w:t>，满足老年人和婴幼儿应</w:t>
            </w:r>
            <w:r>
              <w:rPr>
                <w:rFonts w:asciiTheme="minorEastAsia" w:eastAsiaTheme="minorEastAsia" w:hAnsiTheme="minorEastAsia" w:cs="宋体" w:hint="eastAsia"/>
                <w:sz w:val="21"/>
                <w:szCs w:val="21"/>
              </w:rPr>
              <w:t>用需求</w:t>
            </w:r>
            <w:r>
              <w:rPr>
                <w:rFonts w:asciiTheme="minorEastAsia" w:eastAsiaTheme="minorEastAsia" w:hAnsiTheme="minorEastAsia" w:cs="宋体" w:hint="eastAsia"/>
                <w:kern w:val="0"/>
                <w:sz w:val="21"/>
                <w:szCs w:val="21"/>
              </w:rPr>
              <w:t>。</w:t>
            </w:r>
          </w:p>
        </w:tc>
        <w:tc>
          <w:tcPr>
            <w:tcW w:w="3282"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市工信局、市富硒办、市</w:t>
            </w:r>
            <w:r>
              <w:rPr>
                <w:rFonts w:ascii="宋体" w:eastAsia="宋体" w:hAnsi="宋体" w:cs="宋体"/>
                <w:color w:val="000000" w:themeColor="text1"/>
                <w:kern w:val="0"/>
                <w:sz w:val="21"/>
                <w:szCs w:val="21"/>
              </w:rPr>
              <w:t>卫健委</w:t>
            </w:r>
            <w:r>
              <w:rPr>
                <w:rFonts w:ascii="宋体" w:eastAsia="宋体" w:hAnsi="宋体" w:cs="宋体" w:hint="eastAsia"/>
                <w:color w:val="000000" w:themeColor="text1"/>
                <w:kern w:val="0"/>
                <w:sz w:val="21"/>
                <w:szCs w:val="21"/>
              </w:rPr>
              <w:t>、市市场监管局、市民政局，各县（市、区）人民政府按职责分工负责</w:t>
            </w:r>
          </w:p>
        </w:tc>
      </w:tr>
      <w:tr w:rsidR="002B1AD9">
        <w:trPr>
          <w:trHeight w:val="1479"/>
        </w:trPr>
        <w:tc>
          <w:tcPr>
            <w:tcW w:w="734" w:type="dxa"/>
            <w:vMerge/>
            <w:vAlign w:val="center"/>
          </w:tcPr>
          <w:p w:rsidR="002B1AD9" w:rsidRDefault="002B1AD9">
            <w:pPr>
              <w:spacing w:line="240" w:lineRule="auto"/>
              <w:ind w:firstLineChars="0" w:firstLine="0"/>
              <w:jc w:val="left"/>
              <w:rPr>
                <w:rFonts w:ascii="宋体" w:eastAsia="宋体" w:hAnsi="宋体" w:cs="宋体"/>
                <w:color w:val="000000" w:themeColor="text1"/>
                <w:kern w:val="0"/>
                <w:sz w:val="21"/>
                <w:szCs w:val="21"/>
              </w:rPr>
            </w:pPr>
          </w:p>
        </w:tc>
        <w:tc>
          <w:tcPr>
            <w:tcW w:w="1635" w:type="dxa"/>
            <w:vAlign w:val="center"/>
          </w:tcPr>
          <w:p w:rsidR="002B1AD9" w:rsidRDefault="00505B77">
            <w:pPr>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3.秦巴区域职教实训基地</w:t>
            </w:r>
          </w:p>
        </w:tc>
        <w:tc>
          <w:tcPr>
            <w:tcW w:w="4827"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该</w:t>
            </w:r>
            <w:bookmarkStart w:id="0" w:name="_GoBack"/>
            <w:bookmarkEnd w:id="0"/>
            <w:r>
              <w:rPr>
                <w:rFonts w:ascii="宋体" w:eastAsia="宋体" w:hAnsi="宋体" w:cs="宋体" w:hint="eastAsia"/>
                <w:color w:val="000000" w:themeColor="text1"/>
                <w:sz w:val="21"/>
                <w:szCs w:val="21"/>
              </w:rPr>
              <w:t>项目跟进并运行，积极开展康养、医养、智慧养老、休闲体育、营养保健、托育等各类专业人才培养、技术技能培训。</w:t>
            </w:r>
          </w:p>
        </w:tc>
        <w:tc>
          <w:tcPr>
            <w:tcW w:w="3685" w:type="dxa"/>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为服务西北生态经济强市建设和绿色崛起做好人力资源支撑作用。</w:t>
            </w:r>
          </w:p>
        </w:tc>
        <w:tc>
          <w:tcPr>
            <w:tcW w:w="3282" w:type="dxa"/>
            <w:vAlign w:val="center"/>
          </w:tcPr>
          <w:p w:rsidR="002B1AD9" w:rsidRDefault="00505B77">
            <w:pPr>
              <w:spacing w:line="240" w:lineRule="auto"/>
              <w:ind w:firstLineChars="0" w:firstLine="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市发改委、市教体局、市</w:t>
            </w:r>
            <w:r>
              <w:rPr>
                <w:rFonts w:ascii="宋体" w:eastAsia="宋体" w:hAnsi="宋体" w:cs="宋体"/>
                <w:color w:val="000000" w:themeColor="text1"/>
                <w:kern w:val="0"/>
                <w:sz w:val="21"/>
                <w:szCs w:val="21"/>
              </w:rPr>
              <w:t>卫健委</w:t>
            </w:r>
            <w:r>
              <w:rPr>
                <w:rFonts w:ascii="宋体" w:eastAsia="宋体" w:hAnsi="宋体" w:cs="宋体" w:hint="eastAsia"/>
                <w:color w:val="000000" w:themeColor="text1"/>
                <w:kern w:val="0"/>
                <w:sz w:val="21"/>
                <w:szCs w:val="21"/>
              </w:rPr>
              <w:t>、市民政局，安康职业技术学院按职责分工负责</w:t>
            </w:r>
          </w:p>
        </w:tc>
      </w:tr>
    </w:tbl>
    <w:p w:rsidR="002B1AD9" w:rsidRDefault="002B1AD9">
      <w:pPr>
        <w:ind w:firstLine="420"/>
        <w:rPr>
          <w:rFonts w:ascii="宋体" w:eastAsia="宋体" w:hAnsi="宋体" w:cs="宋体"/>
          <w:color w:val="000000" w:themeColor="text1"/>
          <w:sz w:val="21"/>
          <w:szCs w:val="21"/>
        </w:rPr>
      </w:pPr>
    </w:p>
    <w:sectPr w:rsidR="002B1AD9" w:rsidSect="002B1AD9">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624" w:rsidRDefault="00592624">
      <w:pPr>
        <w:spacing w:line="240" w:lineRule="auto"/>
        <w:ind w:firstLine="640"/>
      </w:pPr>
      <w:r>
        <w:separator/>
      </w:r>
    </w:p>
  </w:endnote>
  <w:endnote w:type="continuationSeparator" w:id="1">
    <w:p w:rsidR="00592624" w:rsidRDefault="0059262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D9" w:rsidRDefault="002B1AD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D9" w:rsidRDefault="002B1AD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D9" w:rsidRDefault="002B1AD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624" w:rsidRDefault="00592624">
      <w:pPr>
        <w:ind w:firstLine="640"/>
      </w:pPr>
      <w:r>
        <w:separator/>
      </w:r>
    </w:p>
  </w:footnote>
  <w:footnote w:type="continuationSeparator" w:id="1">
    <w:p w:rsidR="00592624" w:rsidRDefault="0059262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D9" w:rsidRDefault="002B1AD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E8" w:rsidRDefault="00E25CE8" w:rsidP="00E25CE8">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D9" w:rsidRDefault="002B1AD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xYWE4NGQzZjAwNDc5NWMyY2RmYTY1NDFhNTI1MzEifQ=="/>
    <w:docVar w:name="KSO_WPS_MARK_KEY" w:val="89f6f048-aea4-4ecd-823c-88e5f98aae5f"/>
  </w:docVars>
  <w:rsids>
    <w:rsidRoot w:val="006B6FEE"/>
    <w:rsid w:val="BF5F9557"/>
    <w:rsid w:val="FD2B4878"/>
    <w:rsid w:val="FEDF10CF"/>
    <w:rsid w:val="FEFF714D"/>
    <w:rsid w:val="000073CF"/>
    <w:rsid w:val="00045E62"/>
    <w:rsid w:val="000603D1"/>
    <w:rsid w:val="00087EE5"/>
    <w:rsid w:val="00097949"/>
    <w:rsid w:val="000B262E"/>
    <w:rsid w:val="000C1F6E"/>
    <w:rsid w:val="00101AE9"/>
    <w:rsid w:val="00105643"/>
    <w:rsid w:val="0016180D"/>
    <w:rsid w:val="0017297D"/>
    <w:rsid w:val="00191282"/>
    <w:rsid w:val="001A10EF"/>
    <w:rsid w:val="001A5466"/>
    <w:rsid w:val="001B0819"/>
    <w:rsid w:val="001B1B5F"/>
    <w:rsid w:val="00207434"/>
    <w:rsid w:val="0021742D"/>
    <w:rsid w:val="00234AA1"/>
    <w:rsid w:val="00256EE1"/>
    <w:rsid w:val="00276889"/>
    <w:rsid w:val="002A10A6"/>
    <w:rsid w:val="002B1AD9"/>
    <w:rsid w:val="002E6486"/>
    <w:rsid w:val="0031035C"/>
    <w:rsid w:val="00314631"/>
    <w:rsid w:val="0039210C"/>
    <w:rsid w:val="003E77EE"/>
    <w:rsid w:val="0041219E"/>
    <w:rsid w:val="004342E4"/>
    <w:rsid w:val="00460D42"/>
    <w:rsid w:val="0047245C"/>
    <w:rsid w:val="00477608"/>
    <w:rsid w:val="004812A5"/>
    <w:rsid w:val="004D0278"/>
    <w:rsid w:val="004E49DC"/>
    <w:rsid w:val="00502944"/>
    <w:rsid w:val="00505B77"/>
    <w:rsid w:val="005365CD"/>
    <w:rsid w:val="00575A62"/>
    <w:rsid w:val="00591F9F"/>
    <w:rsid w:val="00592624"/>
    <w:rsid w:val="005B6891"/>
    <w:rsid w:val="005D1446"/>
    <w:rsid w:val="006132F2"/>
    <w:rsid w:val="0062540A"/>
    <w:rsid w:val="00657591"/>
    <w:rsid w:val="006635E6"/>
    <w:rsid w:val="00664593"/>
    <w:rsid w:val="006B6FEE"/>
    <w:rsid w:val="006C0C91"/>
    <w:rsid w:val="006C2C8B"/>
    <w:rsid w:val="006C3FCA"/>
    <w:rsid w:val="006D2284"/>
    <w:rsid w:val="006D400D"/>
    <w:rsid w:val="00700CFC"/>
    <w:rsid w:val="007032F5"/>
    <w:rsid w:val="00720532"/>
    <w:rsid w:val="007222A2"/>
    <w:rsid w:val="007A3A27"/>
    <w:rsid w:val="007B15BB"/>
    <w:rsid w:val="007C2CF7"/>
    <w:rsid w:val="007D3065"/>
    <w:rsid w:val="0080187E"/>
    <w:rsid w:val="0083575F"/>
    <w:rsid w:val="00876759"/>
    <w:rsid w:val="008926C6"/>
    <w:rsid w:val="00894CEA"/>
    <w:rsid w:val="008E285B"/>
    <w:rsid w:val="008E6C23"/>
    <w:rsid w:val="008F3872"/>
    <w:rsid w:val="009265C9"/>
    <w:rsid w:val="00967678"/>
    <w:rsid w:val="009C0C38"/>
    <w:rsid w:val="009D2FEF"/>
    <w:rsid w:val="009F4789"/>
    <w:rsid w:val="00A012CA"/>
    <w:rsid w:val="00A03F28"/>
    <w:rsid w:val="00A21A45"/>
    <w:rsid w:val="00A4051B"/>
    <w:rsid w:val="00A95604"/>
    <w:rsid w:val="00AD19A3"/>
    <w:rsid w:val="00AD6DF4"/>
    <w:rsid w:val="00AD7ED2"/>
    <w:rsid w:val="00AE3C25"/>
    <w:rsid w:val="00B44EB3"/>
    <w:rsid w:val="00B45312"/>
    <w:rsid w:val="00B51103"/>
    <w:rsid w:val="00BD58D6"/>
    <w:rsid w:val="00BE12AD"/>
    <w:rsid w:val="00BF0318"/>
    <w:rsid w:val="00C5084B"/>
    <w:rsid w:val="00C74451"/>
    <w:rsid w:val="00C93153"/>
    <w:rsid w:val="00CA2741"/>
    <w:rsid w:val="00D11948"/>
    <w:rsid w:val="00D31A4D"/>
    <w:rsid w:val="00D32035"/>
    <w:rsid w:val="00D66080"/>
    <w:rsid w:val="00D679F9"/>
    <w:rsid w:val="00D93321"/>
    <w:rsid w:val="00DD18B2"/>
    <w:rsid w:val="00DD399F"/>
    <w:rsid w:val="00DF6EAF"/>
    <w:rsid w:val="00E2487D"/>
    <w:rsid w:val="00E25CE8"/>
    <w:rsid w:val="00E33DD1"/>
    <w:rsid w:val="00E85048"/>
    <w:rsid w:val="00EA5BCB"/>
    <w:rsid w:val="00EC7F96"/>
    <w:rsid w:val="00F1591D"/>
    <w:rsid w:val="00F16834"/>
    <w:rsid w:val="00F219CB"/>
    <w:rsid w:val="00F30324"/>
    <w:rsid w:val="00F475F3"/>
    <w:rsid w:val="00F55B89"/>
    <w:rsid w:val="00F763B0"/>
    <w:rsid w:val="00F95075"/>
    <w:rsid w:val="00FA127C"/>
    <w:rsid w:val="00FC1052"/>
    <w:rsid w:val="00FD50B6"/>
    <w:rsid w:val="00FD60FA"/>
    <w:rsid w:val="01A530DF"/>
    <w:rsid w:val="02DA63DE"/>
    <w:rsid w:val="03D1158F"/>
    <w:rsid w:val="0414147C"/>
    <w:rsid w:val="05504736"/>
    <w:rsid w:val="05930720"/>
    <w:rsid w:val="06135E58"/>
    <w:rsid w:val="0662309D"/>
    <w:rsid w:val="068E3D88"/>
    <w:rsid w:val="08810A62"/>
    <w:rsid w:val="08EA70FD"/>
    <w:rsid w:val="09AF2F54"/>
    <w:rsid w:val="0A8F74CA"/>
    <w:rsid w:val="0B3937C0"/>
    <w:rsid w:val="0C2351EB"/>
    <w:rsid w:val="0D1D75F3"/>
    <w:rsid w:val="0D5D3E94"/>
    <w:rsid w:val="0E5D5310"/>
    <w:rsid w:val="0EA578A0"/>
    <w:rsid w:val="0EB75826"/>
    <w:rsid w:val="0EBD108E"/>
    <w:rsid w:val="0EFB3964"/>
    <w:rsid w:val="0F2E7896"/>
    <w:rsid w:val="101728F4"/>
    <w:rsid w:val="11610C55"/>
    <w:rsid w:val="1247754E"/>
    <w:rsid w:val="130059ED"/>
    <w:rsid w:val="132C05F4"/>
    <w:rsid w:val="136E1102"/>
    <w:rsid w:val="165173C8"/>
    <w:rsid w:val="16711E74"/>
    <w:rsid w:val="179E3A27"/>
    <w:rsid w:val="17FA5E3C"/>
    <w:rsid w:val="18383533"/>
    <w:rsid w:val="183B3024"/>
    <w:rsid w:val="1995691B"/>
    <w:rsid w:val="1B8151F1"/>
    <w:rsid w:val="1B8F790E"/>
    <w:rsid w:val="1CA863FC"/>
    <w:rsid w:val="1CB20E75"/>
    <w:rsid w:val="1CC732BD"/>
    <w:rsid w:val="1CD93FA1"/>
    <w:rsid w:val="1CFA0527"/>
    <w:rsid w:val="1D0009C6"/>
    <w:rsid w:val="1DBB0E8E"/>
    <w:rsid w:val="1E7352C5"/>
    <w:rsid w:val="1EA307B4"/>
    <w:rsid w:val="203E5D5A"/>
    <w:rsid w:val="207C5AF9"/>
    <w:rsid w:val="20874856"/>
    <w:rsid w:val="215579C6"/>
    <w:rsid w:val="226922BF"/>
    <w:rsid w:val="227804AD"/>
    <w:rsid w:val="23122559"/>
    <w:rsid w:val="233D4C2E"/>
    <w:rsid w:val="23F4427C"/>
    <w:rsid w:val="24632561"/>
    <w:rsid w:val="248144FB"/>
    <w:rsid w:val="260158AC"/>
    <w:rsid w:val="26534100"/>
    <w:rsid w:val="27E2526A"/>
    <w:rsid w:val="28387B79"/>
    <w:rsid w:val="283F187A"/>
    <w:rsid w:val="28AD23CD"/>
    <w:rsid w:val="28B9246E"/>
    <w:rsid w:val="28FA0460"/>
    <w:rsid w:val="29CD7E74"/>
    <w:rsid w:val="29D84B76"/>
    <w:rsid w:val="29FE104E"/>
    <w:rsid w:val="2A39304D"/>
    <w:rsid w:val="2BB774C0"/>
    <w:rsid w:val="2BB86056"/>
    <w:rsid w:val="2C626979"/>
    <w:rsid w:val="2C6336F9"/>
    <w:rsid w:val="2DDF7346"/>
    <w:rsid w:val="2F3D52F6"/>
    <w:rsid w:val="2FCF5E26"/>
    <w:rsid w:val="2FF80E44"/>
    <w:rsid w:val="30183F1E"/>
    <w:rsid w:val="30B8125D"/>
    <w:rsid w:val="31770FA1"/>
    <w:rsid w:val="31C041CA"/>
    <w:rsid w:val="33F86541"/>
    <w:rsid w:val="35223149"/>
    <w:rsid w:val="35DA1C76"/>
    <w:rsid w:val="364A067C"/>
    <w:rsid w:val="36513CE6"/>
    <w:rsid w:val="367774C5"/>
    <w:rsid w:val="369B168D"/>
    <w:rsid w:val="36E42DAC"/>
    <w:rsid w:val="36EF52AD"/>
    <w:rsid w:val="36F77A77"/>
    <w:rsid w:val="374908B0"/>
    <w:rsid w:val="39E60BE9"/>
    <w:rsid w:val="3A04672A"/>
    <w:rsid w:val="3A372F4A"/>
    <w:rsid w:val="3A6F0BDF"/>
    <w:rsid w:val="3A8A77C7"/>
    <w:rsid w:val="3A964E58"/>
    <w:rsid w:val="3ABB3E24"/>
    <w:rsid w:val="3B9B68EE"/>
    <w:rsid w:val="3C3E2F5F"/>
    <w:rsid w:val="3C8F5568"/>
    <w:rsid w:val="3D7C6586"/>
    <w:rsid w:val="3D8B21D4"/>
    <w:rsid w:val="3D979884"/>
    <w:rsid w:val="3F410E5E"/>
    <w:rsid w:val="3F9335C1"/>
    <w:rsid w:val="40FD1F2F"/>
    <w:rsid w:val="421C34E4"/>
    <w:rsid w:val="42864D18"/>
    <w:rsid w:val="42C91C7A"/>
    <w:rsid w:val="42D2176B"/>
    <w:rsid w:val="430B2661"/>
    <w:rsid w:val="431B5A9A"/>
    <w:rsid w:val="43AC6A00"/>
    <w:rsid w:val="442073EE"/>
    <w:rsid w:val="44B10046"/>
    <w:rsid w:val="454964D0"/>
    <w:rsid w:val="456559F2"/>
    <w:rsid w:val="456B28EB"/>
    <w:rsid w:val="45757505"/>
    <w:rsid w:val="45833790"/>
    <w:rsid w:val="458450F1"/>
    <w:rsid w:val="462F170B"/>
    <w:rsid w:val="467410A0"/>
    <w:rsid w:val="46DF70EC"/>
    <w:rsid w:val="489B5295"/>
    <w:rsid w:val="490125BD"/>
    <w:rsid w:val="491069A4"/>
    <w:rsid w:val="49814F47"/>
    <w:rsid w:val="49E73A3E"/>
    <w:rsid w:val="4A993A56"/>
    <w:rsid w:val="4AB8212E"/>
    <w:rsid w:val="4AB912DE"/>
    <w:rsid w:val="4B207100"/>
    <w:rsid w:val="4B5D2CD5"/>
    <w:rsid w:val="4BCA508E"/>
    <w:rsid w:val="4C9E1C8D"/>
    <w:rsid w:val="4CA17BB8"/>
    <w:rsid w:val="4D1D0EC2"/>
    <w:rsid w:val="4D8409ED"/>
    <w:rsid w:val="4E616639"/>
    <w:rsid w:val="50721DAC"/>
    <w:rsid w:val="50C454CA"/>
    <w:rsid w:val="516B7A51"/>
    <w:rsid w:val="5216728A"/>
    <w:rsid w:val="52C566DC"/>
    <w:rsid w:val="53A92F5C"/>
    <w:rsid w:val="54055BED"/>
    <w:rsid w:val="54EC06FC"/>
    <w:rsid w:val="56866145"/>
    <w:rsid w:val="568B2522"/>
    <w:rsid w:val="570A1F63"/>
    <w:rsid w:val="576A2D00"/>
    <w:rsid w:val="580E15DF"/>
    <w:rsid w:val="58366D88"/>
    <w:rsid w:val="586B7496"/>
    <w:rsid w:val="58900246"/>
    <w:rsid w:val="5A0858DE"/>
    <w:rsid w:val="5AC67381"/>
    <w:rsid w:val="5B6D3508"/>
    <w:rsid w:val="5B962018"/>
    <w:rsid w:val="5CFC2FB2"/>
    <w:rsid w:val="5D7B8410"/>
    <w:rsid w:val="5E8545C5"/>
    <w:rsid w:val="5EA90CA0"/>
    <w:rsid w:val="5F2B0CC9"/>
    <w:rsid w:val="5F2C16DC"/>
    <w:rsid w:val="5F37766E"/>
    <w:rsid w:val="5F586C61"/>
    <w:rsid w:val="5F622211"/>
    <w:rsid w:val="606A7DEB"/>
    <w:rsid w:val="61AE798F"/>
    <w:rsid w:val="61B45149"/>
    <w:rsid w:val="625E2CFC"/>
    <w:rsid w:val="627869F3"/>
    <w:rsid w:val="62972578"/>
    <w:rsid w:val="62EC6150"/>
    <w:rsid w:val="6307510D"/>
    <w:rsid w:val="637F18BA"/>
    <w:rsid w:val="63894210"/>
    <w:rsid w:val="639F42BD"/>
    <w:rsid w:val="63DC4C88"/>
    <w:rsid w:val="63E853DA"/>
    <w:rsid w:val="645D3D6C"/>
    <w:rsid w:val="64F00BCE"/>
    <w:rsid w:val="66D9725C"/>
    <w:rsid w:val="67982FB2"/>
    <w:rsid w:val="67EB126B"/>
    <w:rsid w:val="68040309"/>
    <w:rsid w:val="68786D3D"/>
    <w:rsid w:val="6893581B"/>
    <w:rsid w:val="696D684C"/>
    <w:rsid w:val="6A4F08C6"/>
    <w:rsid w:val="6B234F61"/>
    <w:rsid w:val="6B910106"/>
    <w:rsid w:val="6DEE183F"/>
    <w:rsid w:val="6E9E7C8D"/>
    <w:rsid w:val="6F045092"/>
    <w:rsid w:val="6FCF38F2"/>
    <w:rsid w:val="705521D3"/>
    <w:rsid w:val="714A41CA"/>
    <w:rsid w:val="72F13B80"/>
    <w:rsid w:val="766837CF"/>
    <w:rsid w:val="76A07D97"/>
    <w:rsid w:val="76E3332D"/>
    <w:rsid w:val="770B4083"/>
    <w:rsid w:val="771F6F0D"/>
    <w:rsid w:val="776F6F00"/>
    <w:rsid w:val="777D3C34"/>
    <w:rsid w:val="77B567BC"/>
    <w:rsid w:val="7829676A"/>
    <w:rsid w:val="78A5551D"/>
    <w:rsid w:val="78DB1C04"/>
    <w:rsid w:val="7940316B"/>
    <w:rsid w:val="7AB94F83"/>
    <w:rsid w:val="7B572F18"/>
    <w:rsid w:val="7BC1389C"/>
    <w:rsid w:val="7CD82038"/>
    <w:rsid w:val="7D132015"/>
    <w:rsid w:val="7D3460A9"/>
    <w:rsid w:val="7DFD787D"/>
    <w:rsid w:val="7FA16F1B"/>
    <w:rsid w:val="8A77F3C3"/>
    <w:rsid w:val="9FFF9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qFormat/>
    <w:rsid w:val="002B1AD9"/>
    <w:pPr>
      <w:widowControl w:val="0"/>
      <w:spacing w:line="360" w:lineRule="auto"/>
      <w:ind w:firstLineChars="200" w:firstLine="200"/>
      <w:jc w:val="both"/>
    </w:pPr>
    <w:rPr>
      <w:rFonts w:ascii="Calibri" w:eastAsia="仿宋" w:hAnsi="Calibri" w:cs="Times New Roman"/>
      <w:kern w:val="2"/>
      <w:sz w:val="32"/>
      <w:szCs w:val="22"/>
    </w:rPr>
  </w:style>
  <w:style w:type="paragraph" w:styleId="2">
    <w:name w:val="heading 2"/>
    <w:basedOn w:val="a"/>
    <w:next w:val="a"/>
    <w:link w:val="2Char"/>
    <w:uiPriority w:val="9"/>
    <w:unhideWhenUsed/>
    <w:qFormat/>
    <w:rsid w:val="002B1AD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2B1AD9"/>
    <w:rPr>
      <w:rFonts w:eastAsia="楷体_GB2312"/>
    </w:rPr>
  </w:style>
  <w:style w:type="paragraph" w:styleId="a3">
    <w:name w:val="caption"/>
    <w:basedOn w:val="a"/>
    <w:next w:val="a"/>
    <w:qFormat/>
    <w:rsid w:val="002B1AD9"/>
    <w:rPr>
      <w:rFonts w:ascii="Cambria" w:eastAsia="黑体" w:hAnsi="Cambria"/>
      <w:sz w:val="20"/>
      <w:szCs w:val="20"/>
    </w:rPr>
  </w:style>
  <w:style w:type="paragraph" w:styleId="a4">
    <w:name w:val="Body Text Indent"/>
    <w:basedOn w:val="a"/>
    <w:link w:val="Char"/>
    <w:uiPriority w:val="99"/>
    <w:unhideWhenUsed/>
    <w:qFormat/>
    <w:rsid w:val="002B1AD9"/>
    <w:pPr>
      <w:spacing w:after="120"/>
      <w:ind w:leftChars="200" w:left="420"/>
    </w:pPr>
  </w:style>
  <w:style w:type="paragraph" w:styleId="a5">
    <w:name w:val="footer"/>
    <w:basedOn w:val="a"/>
    <w:link w:val="Char0"/>
    <w:uiPriority w:val="99"/>
    <w:unhideWhenUsed/>
    <w:qFormat/>
    <w:rsid w:val="002B1AD9"/>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rsid w:val="002B1AD9"/>
    <w:pPr>
      <w:pBdr>
        <w:bottom w:val="single" w:sz="6" w:space="1" w:color="auto"/>
      </w:pBdr>
      <w:tabs>
        <w:tab w:val="center" w:pos="4153"/>
        <w:tab w:val="right" w:pos="8306"/>
      </w:tabs>
      <w:snapToGrid w:val="0"/>
      <w:spacing w:line="240" w:lineRule="auto"/>
      <w:jc w:val="center"/>
    </w:pPr>
    <w:rPr>
      <w:sz w:val="18"/>
      <w:szCs w:val="18"/>
    </w:rPr>
  </w:style>
  <w:style w:type="paragraph" w:styleId="20">
    <w:name w:val="Body Text First Indent 2"/>
    <w:basedOn w:val="a4"/>
    <w:link w:val="2Char0"/>
    <w:uiPriority w:val="99"/>
    <w:unhideWhenUsed/>
    <w:qFormat/>
    <w:rsid w:val="002B1AD9"/>
    <w:pPr>
      <w:ind w:firstLine="420"/>
    </w:pPr>
  </w:style>
  <w:style w:type="table" w:styleId="a7">
    <w:name w:val="Table Grid"/>
    <w:basedOn w:val="a1"/>
    <w:uiPriority w:val="59"/>
    <w:qFormat/>
    <w:rsid w:val="002B1AD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qFormat/>
    <w:rsid w:val="002B1AD9"/>
    <w:rPr>
      <w:rFonts w:asciiTheme="majorHAnsi" w:eastAsiaTheme="majorEastAsia" w:hAnsiTheme="majorHAnsi" w:cstheme="majorBidi"/>
      <w:b/>
      <w:bCs/>
      <w:sz w:val="32"/>
      <w:szCs w:val="32"/>
    </w:rPr>
  </w:style>
  <w:style w:type="character" w:customStyle="1" w:styleId="Char">
    <w:name w:val="正文文本缩进 Char"/>
    <w:basedOn w:val="a0"/>
    <w:link w:val="a4"/>
    <w:uiPriority w:val="99"/>
    <w:semiHidden/>
    <w:qFormat/>
    <w:rsid w:val="002B1AD9"/>
    <w:rPr>
      <w:rFonts w:ascii="Calibri" w:eastAsia="仿宋" w:hAnsi="Calibri" w:cs="Times New Roman"/>
      <w:sz w:val="32"/>
    </w:rPr>
  </w:style>
  <w:style w:type="character" w:customStyle="1" w:styleId="2Char0">
    <w:name w:val="正文首行缩进 2 Char"/>
    <w:basedOn w:val="Char"/>
    <w:link w:val="20"/>
    <w:uiPriority w:val="99"/>
    <w:semiHidden/>
    <w:qFormat/>
    <w:rsid w:val="002B1AD9"/>
    <w:rPr>
      <w:rFonts w:ascii="Calibri" w:eastAsia="仿宋" w:hAnsi="Calibri" w:cs="Times New Roman"/>
      <w:sz w:val="32"/>
    </w:rPr>
  </w:style>
  <w:style w:type="character" w:customStyle="1" w:styleId="Char1">
    <w:name w:val="页眉 Char"/>
    <w:basedOn w:val="a0"/>
    <w:link w:val="a6"/>
    <w:uiPriority w:val="99"/>
    <w:semiHidden/>
    <w:qFormat/>
    <w:rsid w:val="002B1AD9"/>
    <w:rPr>
      <w:rFonts w:ascii="Calibri" w:eastAsia="仿宋" w:hAnsi="Calibri" w:cs="Times New Roman"/>
      <w:kern w:val="2"/>
      <w:sz w:val="18"/>
      <w:szCs w:val="18"/>
    </w:rPr>
  </w:style>
  <w:style w:type="character" w:customStyle="1" w:styleId="Char0">
    <w:name w:val="页脚 Char"/>
    <w:basedOn w:val="a0"/>
    <w:link w:val="a5"/>
    <w:uiPriority w:val="99"/>
    <w:semiHidden/>
    <w:qFormat/>
    <w:rsid w:val="002B1AD9"/>
    <w:rPr>
      <w:rFonts w:ascii="Calibri" w:eastAsia="仿宋"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2022-12-22T12:09:00Z</cp:lastPrinted>
  <dcterms:created xsi:type="dcterms:W3CDTF">2022-12-15T04:29:00Z</dcterms:created>
  <dcterms:modified xsi:type="dcterms:W3CDTF">2023-01-11T06:34:00Z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5C9ADF7126271792BECA70638F8669DB</vt:lpwstr>
  </property>
</Properties>
</file>